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C64C88">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福建省级机关医院卡巴斯基软件服务项目</w:t>
      </w:r>
    </w:p>
    <w:p w14:paraId="207AF3DC">
      <w:pPr>
        <w:keepNext w:val="0"/>
        <w:keepLines w:val="0"/>
        <w:pageBreakBefore w:val="0"/>
        <w:widowControl/>
        <w:numPr>
          <w:ilvl w:val="0"/>
          <w:numId w:val="0"/>
        </w:numPr>
        <w:kinsoku/>
        <w:wordWrap/>
        <w:overflowPunct/>
        <w:topLinePunct w:val="0"/>
        <w:autoSpaceDE/>
        <w:autoSpaceDN/>
        <w:bidi w:val="0"/>
        <w:adjustRightInd/>
        <w:snapToGrid/>
        <w:spacing w:line="320" w:lineRule="exact"/>
        <w:jc w:val="center"/>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院内自行采购文件</w:t>
      </w:r>
    </w:p>
    <w:p w14:paraId="54106785">
      <w:pPr>
        <w:pStyle w:val="17"/>
        <w:keepNext w:val="0"/>
        <w:keepLines w:val="0"/>
        <w:pageBreakBefore w:val="0"/>
        <w:kinsoku/>
        <w:wordWrap/>
        <w:topLinePunct w:val="0"/>
        <w:bidi w:val="0"/>
        <w:snapToGrid/>
        <w:spacing w:line="320" w:lineRule="exact"/>
        <w:rPr>
          <w:rFonts w:hint="eastAsia"/>
          <w:lang w:eastAsia="zh-CN"/>
        </w:rPr>
      </w:pPr>
    </w:p>
    <w:p w14:paraId="0E324534">
      <w:pPr>
        <w:keepNext w:val="0"/>
        <w:keepLines w:val="0"/>
        <w:pageBreakBefore w:val="0"/>
        <w:widowControl/>
        <w:kinsoku/>
        <w:wordWrap/>
        <w:overflowPunct/>
        <w:topLinePunct w:val="0"/>
        <w:autoSpaceDE/>
        <w:autoSpaceDN/>
        <w:bidi w:val="0"/>
        <w:adjustRightInd/>
        <w:snapToGrid/>
        <w:spacing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福建省级机关医院</w:t>
      </w:r>
      <w:r>
        <w:rPr>
          <w:rFonts w:hint="eastAsia" w:ascii="方正仿宋_GB2312" w:hAnsi="方正仿宋_GB2312" w:eastAsia="方正仿宋_GB2312" w:cs="方正仿宋_GB2312"/>
          <w:color w:val="auto"/>
          <w:sz w:val="28"/>
          <w:szCs w:val="28"/>
          <w:highlight w:val="none"/>
        </w:rPr>
        <w:t>组织院内</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活动，现欢迎国内合格的供应商前来提交密封的响应文件。</w:t>
      </w:r>
    </w:p>
    <w:p w14:paraId="41073D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2" w:firstLineChars="200"/>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eastAsia="zh-CN"/>
        </w:rPr>
        <w:t>一、采购</w:t>
      </w:r>
      <w:r>
        <w:rPr>
          <w:rStyle w:val="14"/>
          <w:rFonts w:hint="eastAsia" w:ascii="方正仿宋_GB2312" w:hAnsi="方正仿宋_GB2312" w:eastAsia="方正仿宋_GB2312" w:cs="方正仿宋_GB2312"/>
          <w:b/>
          <w:bCs w:val="0"/>
          <w:color w:val="auto"/>
          <w:sz w:val="28"/>
          <w:szCs w:val="28"/>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560" w:firstLineChars="200"/>
        <w:jc w:val="both"/>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rPr>
        <w:t>项目名称：福建省级机关医院福建省级机关医院卡巴斯基软件服务</w:t>
      </w:r>
      <w:r>
        <w:rPr>
          <w:rFonts w:hint="eastAsia" w:ascii="方正仿宋_GB2312" w:hAnsi="方正仿宋_GB2312" w:eastAsia="方正仿宋_GB2312" w:cs="方正仿宋_GB2312"/>
          <w:color w:val="auto"/>
          <w:sz w:val="28"/>
          <w:szCs w:val="28"/>
          <w:highlight w:val="none"/>
          <w:lang w:val="en-US" w:eastAsia="zh-CN"/>
        </w:rPr>
        <w:t>院内自行采购项目</w:t>
      </w:r>
    </w:p>
    <w:p w14:paraId="0DD970B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项目编号：</w:t>
      </w:r>
      <w:r>
        <w:rPr>
          <w:rFonts w:hint="eastAsia" w:ascii="方正仿宋_GB2312" w:hAnsi="方正仿宋_GB2312" w:eastAsia="方正仿宋_GB2312" w:cs="方正仿宋_GB2312"/>
          <w:color w:val="auto"/>
          <w:sz w:val="28"/>
          <w:szCs w:val="28"/>
          <w:highlight w:val="none"/>
          <w:lang w:val="en-US" w:eastAsia="zh-CN"/>
        </w:rPr>
        <w:t>FJSJJGYY-XXK-2025-06（KBSJRJFW）</w:t>
      </w:r>
    </w:p>
    <w:p w14:paraId="25FFC6E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范围和内容：详见本项目采购内容及要求中的全部内容。</w:t>
      </w:r>
    </w:p>
    <w:p w14:paraId="156C75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本项目预算金额：</w:t>
      </w:r>
      <w:r>
        <w:rPr>
          <w:rFonts w:hint="eastAsia" w:ascii="方正仿宋_GB2312" w:hAnsi="方正仿宋_GB2312" w:eastAsia="方正仿宋_GB2312" w:cs="方正仿宋_GB2312"/>
          <w:color w:val="auto"/>
          <w:sz w:val="28"/>
          <w:szCs w:val="28"/>
          <w:highlight w:val="none"/>
          <w:lang w:val="en-US" w:eastAsia="zh-CN"/>
        </w:rPr>
        <w:t>90000.00</w:t>
      </w:r>
      <w:r>
        <w:rPr>
          <w:rFonts w:hint="eastAsia" w:ascii="方正仿宋_GB2312" w:hAnsi="方正仿宋_GB2312" w:eastAsia="方正仿宋_GB2312" w:cs="方正仿宋_GB2312"/>
          <w:color w:val="auto"/>
          <w:sz w:val="28"/>
          <w:szCs w:val="28"/>
          <w:highlight w:val="none"/>
        </w:rPr>
        <w:t>元</w:t>
      </w:r>
    </w:p>
    <w:p w14:paraId="75A4CF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5.服务期限：2025年10月21日-2028年10月20日。</w:t>
      </w:r>
    </w:p>
    <w:p w14:paraId="1D9305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6.</w:t>
      </w:r>
      <w:r>
        <w:rPr>
          <w:rFonts w:hint="eastAsia" w:ascii="方正仿宋_GB2312" w:hAnsi="方正仿宋_GB2312" w:eastAsia="方正仿宋_GB2312" w:cs="方正仿宋_GB2312"/>
          <w:color w:val="auto"/>
          <w:sz w:val="28"/>
          <w:szCs w:val="28"/>
          <w:highlight w:val="none"/>
        </w:rPr>
        <w:t>服务（货物）一览表</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2312" w:hAnsi="方正仿宋_GB2312" w:eastAsia="方正仿宋_GB2312" w:cs="方正仿宋_GB2312"/>
                <w:i w:val="0"/>
                <w:iCs w:val="0"/>
                <w:color w:val="auto"/>
                <w:sz w:val="28"/>
                <w:szCs w:val="28"/>
                <w:highlight w:val="none"/>
                <w:u w:val="none"/>
                <w:lang w:val="en-US" w:eastAsia="zh-CN"/>
              </w:rPr>
            </w:pPr>
            <w:r>
              <w:rPr>
                <w:rFonts w:hint="eastAsia" w:ascii="方正仿宋_GB2312" w:hAnsi="方正仿宋_GB2312" w:eastAsia="方正仿宋_GB2312" w:cs="方正仿宋_GB2312"/>
                <w:i w:val="0"/>
                <w:iCs w:val="0"/>
                <w:color w:val="auto"/>
                <w:sz w:val="28"/>
                <w:szCs w:val="28"/>
                <w:highlight w:val="none"/>
                <w:u w:val="none"/>
                <w:lang w:val="en-US" w:eastAsia="zh-CN"/>
              </w:rPr>
              <w:t>卡巴斯基软件服务</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3年</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lang w:val="en-US"/>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90000.00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2312" w:hAnsi="方正仿宋_GB2312" w:eastAsia="方正仿宋_GB2312" w:cs="方正仿宋_GB2312"/>
                <w:i w:val="0"/>
                <w:iCs w:val="0"/>
                <w:color w:val="auto"/>
                <w:sz w:val="28"/>
                <w:szCs w:val="28"/>
                <w:highlight w:val="none"/>
                <w:u w:val="none"/>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福建省级机关医院</w:t>
            </w:r>
          </w:p>
        </w:tc>
      </w:tr>
    </w:tbl>
    <w:p w14:paraId="374A521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i w:val="0"/>
          <w:iCs w:val="0"/>
          <w:color w:val="auto"/>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auto"/>
          <w:kern w:val="0"/>
          <w:sz w:val="28"/>
          <w:szCs w:val="28"/>
          <w:highlight w:val="none"/>
          <w:u w:val="none"/>
          <w:lang w:val="en-US" w:eastAsia="zh-CN" w:bidi="ar"/>
        </w:rPr>
        <w:t>注：（1）本项目预算价人民币90000.00元为最高限价。供应商报价超过各单价限价和最高限价的为无效报价。供应商可依据市场行情和自身情况，自由竞价。</w:t>
      </w:r>
      <w:r>
        <w:rPr>
          <w:rFonts w:hint="eastAsia" w:ascii="方正仿宋_GB2312" w:hAnsi="方正仿宋_GB2312" w:eastAsia="方正仿宋_GB2312" w:cs="方正仿宋_GB2312"/>
          <w:sz w:val="28"/>
          <w:szCs w:val="28"/>
        </w:rPr>
        <w:t>本项目所发生的一切费用（如货物及运输、安装、调试、检验、质保、培训、与医院</w:t>
      </w:r>
      <w:r>
        <w:rPr>
          <w:rFonts w:hint="eastAsia" w:ascii="方正仿宋_GB2312" w:hAnsi="方正仿宋_GB2312" w:eastAsia="方正仿宋_GB2312" w:cs="方正仿宋_GB2312"/>
          <w:sz w:val="28"/>
          <w:szCs w:val="28"/>
          <w:lang w:val="en-US" w:eastAsia="zh-CN"/>
        </w:rPr>
        <w:t>各信息</w:t>
      </w:r>
      <w:r>
        <w:rPr>
          <w:rFonts w:hint="eastAsia" w:ascii="方正仿宋_GB2312" w:hAnsi="方正仿宋_GB2312" w:eastAsia="方正仿宋_GB2312" w:cs="方正仿宋_GB2312"/>
          <w:sz w:val="28"/>
          <w:szCs w:val="28"/>
        </w:rPr>
        <w:t>系统的接口费等所有其他有关各项的含税费用）均包含在报价中。</w:t>
      </w:r>
    </w:p>
    <w:p w14:paraId="1EDE36F7">
      <w:pPr>
        <w:keepNext w:val="0"/>
        <w:keepLines w:val="0"/>
        <w:pageBreakBefore w:val="0"/>
        <w:numPr>
          <w:ilvl w:val="0"/>
          <w:numId w:val="1"/>
        </w:numPr>
        <w:kinsoku/>
        <w:wordWrap/>
        <w:overflowPunct/>
        <w:topLinePunct w:val="0"/>
        <w:autoSpaceDE/>
        <w:autoSpaceDN/>
        <w:bidi w:val="0"/>
        <w:adjustRightInd/>
        <w:snapToGrid/>
        <w:spacing w:line="360" w:lineRule="exact"/>
        <w:ind w:firstLine="560" w:firstLineChars="200"/>
        <w:rPr>
          <w:rFonts w:hint="eastAsia" w:ascii="方正仿宋_GB2312" w:hAnsi="方正仿宋_GB2312" w:eastAsia="方正仿宋_GB2312" w:cs="方正仿宋_GB2312"/>
          <w:b w:val="0"/>
          <w:bCs w:val="0"/>
          <w:color w:val="auto"/>
          <w:sz w:val="28"/>
          <w:szCs w:val="28"/>
          <w:highlight w:val="none"/>
        </w:rPr>
      </w:pPr>
      <w:r>
        <w:rPr>
          <w:rFonts w:hint="eastAsia" w:ascii="方正仿宋_GB2312" w:hAnsi="方正仿宋_GB2312" w:eastAsia="方正仿宋_GB2312" w:cs="方正仿宋_GB2312"/>
          <w:b w:val="0"/>
          <w:bCs w:val="0"/>
          <w:color w:val="auto"/>
          <w:sz w:val="28"/>
          <w:szCs w:val="28"/>
          <w:highlight w:val="none"/>
        </w:rPr>
        <w:t>成交人安装结束后应在规定的交付使用时间之前将废物移离现场，清理妥当，费用由成交人负责。</w:t>
      </w:r>
    </w:p>
    <w:p w14:paraId="627D83C3">
      <w:pPr>
        <w:pStyle w:val="26"/>
        <w:keepNext w:val="0"/>
        <w:keepLines w:val="0"/>
        <w:pageBreakBefore w:val="0"/>
        <w:kinsoku/>
        <w:wordWrap/>
        <w:overflowPunct/>
        <w:topLinePunct w:val="0"/>
        <w:autoSpaceDE/>
        <w:autoSpaceDN/>
        <w:bidi w:val="0"/>
        <w:adjustRightInd/>
        <w:snapToGrid/>
        <w:spacing w:line="360" w:lineRule="exact"/>
        <w:ind w:firstLine="560" w:firstLineChars="200"/>
        <w:jc w:val="left"/>
        <w:rPr>
          <w:rFonts w:hint="eastAsia" w:ascii="方正仿宋_GB2312" w:hAnsi="方正仿宋_GB2312" w:eastAsia="方正仿宋_GB2312" w:cs="方正仿宋_GB2312"/>
          <w:color w:val="auto"/>
          <w:sz w:val="28"/>
          <w:szCs w:val="28"/>
        </w:rPr>
      </w:pPr>
      <w:r>
        <w:rPr>
          <w:rFonts w:hint="eastAsia" w:ascii="方正仿宋_GB2312" w:hAnsi="方正仿宋_GB2312" w:eastAsia="方正仿宋_GB2312" w:cs="方正仿宋_GB2312"/>
          <w:color w:val="auto"/>
          <w:sz w:val="28"/>
          <w:szCs w:val="28"/>
          <w:lang w:val="en-US" w:eastAsia="zh-CN"/>
        </w:rPr>
        <w:t>6.</w:t>
      </w:r>
      <w:r>
        <w:rPr>
          <w:rFonts w:hint="eastAsia" w:ascii="方正仿宋_GB2312" w:hAnsi="方正仿宋_GB2312" w:eastAsia="方正仿宋_GB2312" w:cs="方正仿宋_GB2312"/>
          <w:color w:val="auto"/>
          <w:sz w:val="28"/>
          <w:szCs w:val="28"/>
          <w:highlight w:val="none"/>
        </w:rPr>
        <w:t>本项目</w:t>
      </w:r>
      <w:r>
        <w:rPr>
          <w:rFonts w:hint="eastAsia" w:ascii="方正仿宋_GB2312" w:hAnsi="方正仿宋_GB2312" w:eastAsia="方正仿宋_GB2312" w:cs="方正仿宋_GB2312"/>
          <w:color w:val="auto"/>
          <w:sz w:val="28"/>
          <w:szCs w:val="28"/>
          <w:highlight w:val="none"/>
          <w:lang w:val="en-US" w:eastAsia="zh-CN"/>
        </w:rPr>
        <w:t>采用最低价成交法，</w:t>
      </w:r>
      <w:r>
        <w:rPr>
          <w:rFonts w:hint="eastAsia" w:ascii="方正仿宋_GB2312" w:hAnsi="方正仿宋_GB2312" w:eastAsia="方正仿宋_GB2312" w:cs="方正仿宋_GB2312"/>
          <w:color w:val="auto"/>
          <w:sz w:val="28"/>
          <w:szCs w:val="28"/>
        </w:rPr>
        <w:t>价格扣除的规则如下：</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991"/>
        <w:gridCol w:w="4153"/>
      </w:tblGrid>
      <w:tr w14:paraId="57FAEF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0735B46">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项目</w:t>
            </w:r>
          </w:p>
        </w:tc>
        <w:tc>
          <w:tcPr>
            <w:tcW w:w="1661" w:type="dxa"/>
          </w:tcPr>
          <w:p w14:paraId="7825EB27">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适用对象</w:t>
            </w:r>
          </w:p>
        </w:tc>
        <w:tc>
          <w:tcPr>
            <w:tcW w:w="831" w:type="dxa"/>
          </w:tcPr>
          <w:p w14:paraId="25B3413D">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比例</w:t>
            </w:r>
          </w:p>
        </w:tc>
        <w:tc>
          <w:tcPr>
            <w:tcW w:w="4153" w:type="dxa"/>
          </w:tcPr>
          <w:p w14:paraId="136852B4">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 xml:space="preserve"> 描述</w:t>
            </w:r>
          </w:p>
        </w:tc>
      </w:tr>
      <w:tr w14:paraId="5BD49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88608D4">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小型、微型企业，监狱企业，残疾人福利性单位</w:t>
            </w:r>
          </w:p>
        </w:tc>
        <w:tc>
          <w:tcPr>
            <w:tcW w:w="1661" w:type="dxa"/>
          </w:tcPr>
          <w:p w14:paraId="173BDC4A">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lang w:val="en-US" w:eastAsia="zh-CN"/>
              </w:rPr>
              <w:t>供应商</w:t>
            </w:r>
            <w:r>
              <w:rPr>
                <w:rFonts w:hint="eastAsia" w:ascii="方正仿宋_GB2312" w:hAnsi="方正仿宋_GB2312" w:eastAsia="方正仿宋_GB2312" w:cs="方正仿宋_GB2312"/>
                <w:color w:val="auto"/>
                <w:kern w:val="2"/>
                <w:sz w:val="28"/>
                <w:szCs w:val="28"/>
                <w:highlight w:val="none"/>
                <w:u w:val="none"/>
              </w:rPr>
              <w:t>为小型、微型企业</w:t>
            </w:r>
          </w:p>
        </w:tc>
        <w:tc>
          <w:tcPr>
            <w:tcW w:w="831" w:type="dxa"/>
          </w:tcPr>
          <w:p w14:paraId="513E421D">
            <w:pPr>
              <w:pStyle w:val="26"/>
              <w:keepNext w:val="0"/>
              <w:keepLines w:val="0"/>
              <w:pageBreakBefore w:val="0"/>
              <w:kinsoku/>
              <w:wordWrap/>
              <w:overflowPunct/>
              <w:topLinePunct w:val="0"/>
              <w:autoSpaceDE/>
              <w:autoSpaceDN/>
              <w:bidi w:val="0"/>
              <w:adjustRightInd/>
              <w:snapToGrid/>
              <w:spacing w:line="360" w:lineRule="exact"/>
              <w:jc w:val="righ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15.00%</w:t>
            </w:r>
          </w:p>
        </w:tc>
        <w:tc>
          <w:tcPr>
            <w:tcW w:w="4153" w:type="dxa"/>
          </w:tcPr>
          <w:p w14:paraId="528E52D8">
            <w:pPr>
              <w:pStyle w:val="26"/>
              <w:keepNext w:val="0"/>
              <w:keepLines w:val="0"/>
              <w:pageBreakBefore w:val="0"/>
              <w:kinsoku/>
              <w:wordWrap/>
              <w:overflowPunct/>
              <w:topLinePunct w:val="0"/>
              <w:autoSpaceDE/>
              <w:autoSpaceDN/>
              <w:bidi w:val="0"/>
              <w:adjustRightInd/>
              <w:snapToGrid/>
              <w:spacing w:line="360" w:lineRule="exact"/>
              <w:jc w:val="left"/>
              <w:rPr>
                <w:rFonts w:hint="eastAsia" w:ascii="方正仿宋_GB2312" w:hAnsi="方正仿宋_GB2312" w:eastAsia="方正仿宋_GB2312" w:cs="方正仿宋_GB2312"/>
                <w:color w:val="auto"/>
                <w:kern w:val="2"/>
                <w:sz w:val="28"/>
                <w:szCs w:val="28"/>
                <w:highlight w:val="none"/>
                <w:u w:val="none"/>
              </w:rPr>
            </w:pPr>
            <w:r>
              <w:rPr>
                <w:rFonts w:hint="eastAsia" w:ascii="方正仿宋_GB2312" w:hAnsi="方正仿宋_GB2312" w:eastAsia="方正仿宋_GB2312" w:cs="方正仿宋_GB2312"/>
                <w:color w:val="auto"/>
                <w:kern w:val="2"/>
                <w:sz w:val="28"/>
                <w:szCs w:val="28"/>
                <w:highlight w:val="none"/>
                <w:u w:val="none"/>
              </w:rPr>
              <w:t>1、对小、微企业报价给予 15%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14:paraId="55AAE67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2" w:firstLineChars="200"/>
        <w:rPr>
          <w:rFonts w:hint="eastAsia" w:ascii="方正仿宋_GB2312" w:hAnsi="方正仿宋_GB2312" w:eastAsia="方正仿宋_GB2312" w:cs="方正仿宋_GB2312"/>
          <w:kern w:val="2"/>
          <w:sz w:val="28"/>
          <w:szCs w:val="28"/>
          <w:lang w:val="en-US" w:eastAsia="zh-CN" w:bidi="ar-SA"/>
        </w:rPr>
      </w:pPr>
      <w:r>
        <w:rPr>
          <w:rStyle w:val="14"/>
          <w:rFonts w:hint="eastAsia" w:ascii="方正仿宋_GB2312" w:hAnsi="方正仿宋_GB2312" w:eastAsia="方正仿宋_GB2312" w:cs="方正仿宋_GB2312"/>
          <w:b/>
          <w:bCs w:val="0"/>
          <w:color w:val="auto"/>
          <w:sz w:val="28"/>
          <w:szCs w:val="28"/>
          <w:highlight w:val="none"/>
        </w:rPr>
        <w:t>二、</w:t>
      </w:r>
      <w:r>
        <w:rPr>
          <w:rStyle w:val="14"/>
          <w:rFonts w:hint="eastAsia" w:ascii="方正仿宋_GB2312" w:hAnsi="方正仿宋_GB2312" w:eastAsia="方正仿宋_GB2312" w:cs="方正仿宋_GB2312"/>
          <w:b/>
          <w:bCs w:val="0"/>
          <w:color w:val="auto"/>
          <w:sz w:val="28"/>
          <w:szCs w:val="28"/>
          <w:highlight w:val="none"/>
          <w:lang w:val="en-US" w:eastAsia="zh-CN"/>
        </w:rPr>
        <w:t>服务</w:t>
      </w:r>
      <w:r>
        <w:rPr>
          <w:rStyle w:val="14"/>
          <w:rFonts w:hint="eastAsia" w:ascii="方正仿宋_GB2312" w:hAnsi="方正仿宋_GB2312" w:eastAsia="方正仿宋_GB2312" w:cs="方正仿宋_GB2312"/>
          <w:b/>
          <w:bCs w:val="0"/>
          <w:color w:val="auto"/>
          <w:sz w:val="28"/>
          <w:szCs w:val="28"/>
          <w:highlight w:val="none"/>
        </w:rPr>
        <w:t>内容及</w:t>
      </w:r>
      <w:r>
        <w:rPr>
          <w:rStyle w:val="14"/>
          <w:rFonts w:hint="eastAsia" w:ascii="方正仿宋_GB2312" w:hAnsi="方正仿宋_GB2312" w:eastAsia="方正仿宋_GB2312" w:cs="方正仿宋_GB2312"/>
          <w:b/>
          <w:bCs w:val="0"/>
          <w:color w:val="auto"/>
          <w:sz w:val="28"/>
          <w:szCs w:val="28"/>
          <w:highlight w:val="none"/>
          <w:lang w:eastAsia="zh-CN"/>
        </w:rPr>
        <w:t>技术参数</w:t>
      </w:r>
      <w:r>
        <w:rPr>
          <w:rStyle w:val="14"/>
          <w:rFonts w:hint="eastAsia" w:ascii="方正仿宋_GB2312" w:hAnsi="方正仿宋_GB2312" w:eastAsia="方正仿宋_GB2312" w:cs="方正仿宋_GB2312"/>
          <w:b/>
          <w:bCs w:val="0"/>
          <w:color w:val="auto"/>
          <w:sz w:val="28"/>
          <w:szCs w:val="28"/>
          <w:highlight w:val="none"/>
        </w:rPr>
        <w:t>要求</w:t>
      </w:r>
      <w:r>
        <w:rPr>
          <w:rStyle w:val="14"/>
          <w:rFonts w:hint="eastAsia" w:ascii="方正仿宋_GB2312" w:hAnsi="方正仿宋_GB2312" w:eastAsia="方正仿宋_GB2312" w:cs="方正仿宋_GB2312"/>
          <w:b w:val="0"/>
          <w:bCs/>
          <w:color w:val="auto"/>
          <w:sz w:val="28"/>
          <w:szCs w:val="28"/>
          <w:highlight w:val="none"/>
        </w:rPr>
        <w:t>（以下内容均为实质性内容，供应商</w:t>
      </w:r>
      <w:r>
        <w:rPr>
          <w:rFonts w:hint="eastAsia" w:ascii="方正仿宋_GB2312" w:hAnsi="方正仿宋_GB2312" w:eastAsia="方正仿宋_GB2312" w:cs="方正仿宋_GB2312"/>
          <w:kern w:val="2"/>
          <w:sz w:val="28"/>
          <w:szCs w:val="28"/>
          <w:lang w:val="en-US" w:eastAsia="zh-CN" w:bidi="ar-SA"/>
        </w:rPr>
        <w:t>须完全响应，否则视为无效响应）</w:t>
      </w:r>
    </w:p>
    <w:p w14:paraId="7AB21AF8">
      <w:pPr>
        <w:keepNext w:val="0"/>
        <w:keepLines w:val="0"/>
        <w:pageBreakBefore w:val="0"/>
        <w:kinsoku/>
        <w:wordWrap/>
        <w:overflowPunct/>
        <w:topLinePunct w:val="0"/>
        <w:autoSpaceDE/>
        <w:autoSpaceDN/>
        <w:bidi w:val="0"/>
        <w:adjustRightInd/>
        <w:spacing w:line="360" w:lineRule="exact"/>
        <w:rPr>
          <w:rFonts w:hint="eastAsia" w:ascii="方正仿宋_GB2312" w:hAnsi="方正仿宋_GB2312" w:eastAsia="方正仿宋_GB2312" w:cs="方正仿宋_GB2312"/>
          <w:b/>
          <w:bCs/>
          <w:sz w:val="28"/>
          <w:szCs w:val="28"/>
          <w:highlight w:val="none"/>
          <w:lang w:val="en-US" w:eastAsia="zh-CN"/>
        </w:rPr>
      </w:pPr>
      <w:r>
        <w:rPr>
          <w:rFonts w:hint="eastAsia" w:ascii="方正仿宋_GB2312" w:hAnsi="方正仿宋_GB2312" w:eastAsia="方正仿宋_GB2312" w:cs="方正仿宋_GB2312"/>
          <w:b/>
          <w:bCs/>
          <w:sz w:val="28"/>
          <w:szCs w:val="28"/>
          <w:highlight w:val="none"/>
          <w:lang w:val="en-US" w:eastAsia="zh-CN"/>
        </w:rPr>
        <w:t>（一）技术条件</w:t>
      </w:r>
    </w:p>
    <w:p w14:paraId="0A1464BE">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1、授权服务配置要求:</w:t>
      </w:r>
    </w:p>
    <w:p w14:paraId="30D4EC89">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1.1、卡巴斯基管理中心≥1个；</w:t>
      </w:r>
    </w:p>
    <w:p w14:paraId="1C920404">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1.2、服务器客户端+客户端≥350个；</w:t>
      </w:r>
    </w:p>
    <w:p w14:paraId="03587D64">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1.3、要求管理中心安装授权无限制；</w:t>
      </w:r>
    </w:p>
    <w:p w14:paraId="1D91FD83">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1.4、要求支持对所有不同系统平台客户端进行统一管理；</w:t>
      </w:r>
    </w:p>
    <w:p w14:paraId="1B50ACA3">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1.5、授权≥3年有效期，免费反病毒库及版本升级；</w:t>
      </w:r>
    </w:p>
    <w:p w14:paraId="5BEF01A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2、操作系统兼容性</w:t>
      </w:r>
    </w:p>
    <w:p w14:paraId="377006CD">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2.1、支持Linux操作系统（Redhat 7及以上版本）</w:t>
      </w:r>
    </w:p>
    <w:p w14:paraId="40041C7C">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2.2、支持Windows 7 SP1 及以上操作系统</w:t>
      </w:r>
    </w:p>
    <w:p w14:paraId="453146D2">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2.3、支持Windows2 Web Server 2008 R2 Service Pack 1及以上操作系统</w:t>
      </w:r>
    </w:p>
    <w:p w14:paraId="4E66EB7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3、支持对现有网络中安全产品的正确识别能力，并且可以通过产品部署安装包进行对全网现有反病毒软件进行统一自动卸载操作。</w:t>
      </w:r>
    </w:p>
    <w:p w14:paraId="0359393D">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4、支持多种安装方式，如下载安装、远程安装、共享安装、Web安装、脚本登录安装和域组策略安装，支持通过管理控制台方式进行远程安装，支持通过 Web 方式进行远程安装。</w:t>
      </w:r>
    </w:p>
    <w:p w14:paraId="42AC880E">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5、安装包自定义：反病毒客户端与网络代理客户端相互独立，可以通过管理中心打包后下发安装，或独立安装。</w:t>
      </w:r>
    </w:p>
    <w:p w14:paraId="1C40BB92">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6、卸载：卡巴斯基端点安全在卸载时，正常卸载会清理安装路径下文件并删除注册表信息；若终端卸载出现异常，可以通过一键卸载工具，清理卡巴斯基残留文件。</w:t>
      </w:r>
    </w:p>
    <w:p w14:paraId="5D7044D8">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8、本项目集成功能包括但不限于病毒监控、防火墙、邮件反病毒、主动防御、入侵检测系统、网页反病毒、应用程序控制、设备控制、网页控制、漏洞检测和网络流量监控。</w:t>
      </w:r>
    </w:p>
    <w:p w14:paraId="7723B765">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9、行为检测：收集采购人计算机上应用程序操作行为，并对这些行为进行检测及监控。</w:t>
      </w:r>
    </w:p>
    <w:p w14:paraId="2EB58569">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10、漏洞入侵防护：跟踪易受攻击的应用程序或者系统漏洞。当攻击者试图通过非采购人启动应用程序时，卡巴斯基终端会阻止文件的运行。</w:t>
      </w:r>
    </w:p>
    <w:p w14:paraId="169E0318">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11、主机入侵防护(HIPS)：主机入侵防护功能可以阳止应用程序执行可能对操作系统有害的操作,并控制对操作系统资源及个人数据的访问。</w:t>
      </w:r>
    </w:p>
    <w:p w14:paraId="0186974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12、修复引擎：</w:t>
      </w:r>
    </w:p>
    <w:p w14:paraId="626E0C88">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12.1、支持通过回滚恶意软件在操作系统中执行的操作(包括文件、注册表、系统和网络) 以保障采购人数据。</w:t>
      </w:r>
    </w:p>
    <w:p w14:paraId="23846B1A">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12.2、回滚操作应对操作系统或计算机数据的完整性没有不利影响。</w:t>
      </w:r>
    </w:p>
    <w:p w14:paraId="78D32EFA">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13、文件威胁防护：卡巴斯基终端借助应用程序的反病毒数据库来实时检测并清除设备上的威胁。</w:t>
      </w:r>
    </w:p>
    <w:p w14:paraId="44C52765">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14、邮件威胁防护：卡巴斯基终端通过扫描传入和传出的电子邮件以查找威胁。跟随应用程序启动,驻留在设备RAM中,并对通过 POP3、SMTP、IMAP和NNTP 协议收发的所有邮件进行扫描。</w:t>
      </w:r>
    </w:p>
    <w:p w14:paraId="6E7BAB3D">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15、Web 威胁防护：卡巴斯基终端通过 HTTP、HTTPS和 TP 协议传入和传出设备的数据提供保,并防止危险脚本在采购人设备上运行。</w:t>
      </w:r>
    </w:p>
    <w:p w14:paraId="28DCFC02">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16、防火墙：当浏览互联网或使用本地网络时,防火墙会保护采购人每个终端设备免受网络威胁。通过阻止与计算机的未经授权的网络连接,从而降低感染病毒风险。防火墙通过监控设备上应用程序的网络活动,从而降低恶意软件在网络中传播的风险。</w:t>
      </w:r>
    </w:p>
    <w:p w14:paraId="7DF8ADB0">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17、网络威胁防护：支持扫描查找典型的网络攻击活动，例如检测到设备可能遭受网络攻击时,能够阳止来自攻击计算机的网络活动。</w:t>
      </w:r>
    </w:p>
    <w:p w14:paraId="1782F2E1">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18、BadUSB 攻击防御：可防止模拟键盘的受感染 USB 设备连接到计算机。</w:t>
      </w:r>
    </w:p>
    <w:p w14:paraId="5AC00765">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19、AMSI防护：支持Powershell、WMI、无文件攻击防护。</w:t>
      </w:r>
    </w:p>
    <w:p w14:paraId="2F4F9063">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20、根本原因分析的警报卡：</w:t>
      </w:r>
    </w:p>
    <w:p w14:paraId="7602AADC">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20.1、提供警报卡概览、在端点上检测到恶意/可疑活动后，每个新检测都会被打开并填充自动生成的信息。</w:t>
      </w:r>
    </w:p>
    <w:p w14:paraId="493B515D">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20.2、警报卡由管理控制台生成，其中包括细分功能以及有关流程的其他信息，且所有收集到的警报相关数据可以按组（进程、注册表、连接等）或按列表进行排序。</w:t>
      </w:r>
    </w:p>
    <w:p w14:paraId="3B050CA5">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21、应用程序控制：支持管理用户计算机上应用程序的启动,并通过限制对应用程序的访问来降低计算机感染的风险。支持在使用应用程序时执行企业安全策略。</w:t>
      </w:r>
    </w:p>
    <w:p w14:paraId="6BE44DD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22、Web 控制：允许根据网站的内容或地址以限制采购人访问互联网。网页URL 黑名单限制采购人访问可能有害或不良网站。白名单只允许访问安全的互联网资源。</w:t>
      </w:r>
    </w:p>
    <w:p w14:paraId="4FD06CD1">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23、设备控制：可控制采购人对连接到计算机的外部和可移动设备的权限。管理员可以按类型允许或禁止某些设备的使用,或创建“受信任”列表。</w:t>
      </w:r>
    </w:p>
    <w:p w14:paraId="5DE49AF6">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24、支持移动操作系统能够实时监控和清除来自各种途径的病毒、木马等恶意程序。</w:t>
      </w:r>
    </w:p>
    <w:p w14:paraId="00311F70">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25、远程故障排除：</w:t>
      </w:r>
    </w:p>
    <w:p w14:paraId="0751939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25.1、支持对采购人计算机的安全远程连接。</w:t>
      </w:r>
    </w:p>
    <w:p w14:paraId="2F3C4C9B">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25.2、授权机制可防止未经授权的远程访问，且远程访问会话期间执行的全部活动均记录在日志中。</w:t>
      </w:r>
    </w:p>
    <w:p w14:paraId="4F5A1547">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25.3、提供远程诊断实用程序，用于对受管理设备上的卡巴斯基安全应用程序进行故障排除。</w:t>
      </w:r>
    </w:p>
    <w:p w14:paraId="7ABE18E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26、软硬件清单：支持自动发现和软硬件跟踪。</w:t>
      </w:r>
    </w:p>
    <w:p w14:paraId="76372A6F">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27、网络流量限制：可以根据不同的IP网段，限制客户端与管理中心流量大小。</w:t>
      </w:r>
    </w:p>
    <w:p w14:paraId="1F527766">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28、自动分配管理：管理中心可以根据windows设备名、域、IP网段等方式自动分组。</w:t>
      </w:r>
    </w:p>
    <w:p w14:paraId="5416E67C">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29、自我保护：支持能够阻止用户和其他应用程序试图停止KES服务。</w:t>
      </w:r>
    </w:p>
    <w:p w14:paraId="67853E57">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30、密码保护：支持密码保护，防止非管理员主动退出程序、卸载程序。</w:t>
      </w:r>
    </w:p>
    <w:p w14:paraId="32657D63">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31、管理方式：管理中心支持采用C/S或B/S两种模式对客户端进行管理。</w:t>
      </w:r>
    </w:p>
    <w:p w14:paraId="04020A1C">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32、多级管理：提供多级管理控制中心、支持对多级管理控制中心统一集中管理。</w:t>
      </w:r>
    </w:p>
    <w:p w14:paraId="756957FB">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33、消息通知：管理中心支持向卡巴斯基终端发送广播消息。</w:t>
      </w:r>
    </w:p>
    <w:p w14:paraId="593232B4">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34、恶意程序备份：管理中心可以将全网客户端设备的备份区中文件拷贝到管理中心备份，并进行统一处理</w:t>
      </w:r>
    </w:p>
    <w:p w14:paraId="66826AD7">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35、设备识别：管理中心可以识别网络中的实体机和虚拟机及其操作系统版本。</w:t>
      </w:r>
    </w:p>
    <w:p w14:paraId="68E0A257">
      <w:pPr>
        <w:keepNext w:val="0"/>
        <w:keepLines w:val="0"/>
        <w:pageBreakBefore w:val="0"/>
        <w:kinsoku/>
        <w:wordWrap/>
        <w:overflowPunct/>
        <w:topLinePunct w:val="0"/>
        <w:autoSpaceDE/>
        <w:autoSpaceDN/>
        <w:bidi w:val="0"/>
        <w:adjustRightInd/>
        <w:spacing w:line="360" w:lineRule="exact"/>
        <w:ind w:left="0" w:leftChars="0" w:firstLine="560" w:firstLineChars="200"/>
        <w:rPr>
          <w:rFonts w:hint="eastAsia" w:ascii="方正仿宋_GB2312" w:hAnsi="方正仿宋_GB2312" w:eastAsia="方正仿宋_GB2312" w:cs="方正仿宋_GB2312"/>
          <w:b w:val="0"/>
          <w:bCs w:val="0"/>
          <w:sz w:val="28"/>
          <w:szCs w:val="28"/>
          <w:lang w:val="en-US" w:eastAsia="zh-CN"/>
        </w:rPr>
      </w:pPr>
      <w:r>
        <w:rPr>
          <w:rFonts w:hint="eastAsia" w:ascii="方正仿宋_GB2312" w:hAnsi="方正仿宋_GB2312" w:eastAsia="方正仿宋_GB2312" w:cs="方正仿宋_GB2312"/>
          <w:b w:val="0"/>
          <w:bCs w:val="0"/>
          <w:sz w:val="28"/>
          <w:szCs w:val="28"/>
          <w:lang w:val="en-US" w:eastAsia="zh-CN"/>
        </w:rPr>
        <w:t>40、病毒库更新管理：支持在线实时更新或离线更新包更新。</w:t>
      </w:r>
    </w:p>
    <w:p w14:paraId="27E894F6">
      <w:pPr>
        <w:keepNext w:val="0"/>
        <w:keepLines w:val="0"/>
        <w:pageBreakBefore w:val="0"/>
        <w:kinsoku/>
        <w:wordWrap/>
        <w:overflowPunct/>
        <w:topLinePunct w:val="0"/>
        <w:autoSpaceDE/>
        <w:autoSpaceDN/>
        <w:bidi w:val="0"/>
        <w:adjustRightInd/>
        <w:spacing w:line="360" w:lineRule="exact"/>
        <w:rPr>
          <w:rFonts w:hint="eastAsia"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val="en-US" w:eastAsia="zh-CN"/>
        </w:rPr>
        <w:t>（二）商务条件</w:t>
      </w:r>
    </w:p>
    <w:p w14:paraId="452A67FD">
      <w:pPr>
        <w:keepNext w:val="0"/>
        <w:keepLines w:val="0"/>
        <w:pageBreakBefore w:val="0"/>
        <w:kinsoku/>
        <w:wordWrap/>
        <w:overflowPunct/>
        <w:topLinePunct w:val="0"/>
        <w:autoSpaceDE/>
        <w:autoSpaceDN/>
        <w:bidi w:val="0"/>
        <w:adjustRightInd/>
        <w:snapToGrid/>
        <w:spacing w:line="360" w:lineRule="exact"/>
        <w:textAlignment w:val="auto"/>
        <w:rPr>
          <w:rStyle w:val="14"/>
          <w:rFonts w:hint="eastAsia" w:ascii="方正仿宋_GB2312" w:hAnsi="方正仿宋_GB2312" w:eastAsia="方正仿宋_GB2312" w:cs="方正仿宋_GB2312"/>
          <w:b/>
          <w:bCs/>
          <w:kern w:val="0"/>
          <w:sz w:val="28"/>
          <w:szCs w:val="28"/>
          <w:lang w:val="en-US" w:eastAsia="zh-CN" w:bidi="ar"/>
        </w:rPr>
      </w:pPr>
      <w:r>
        <w:rPr>
          <w:rStyle w:val="14"/>
          <w:rFonts w:hint="eastAsia" w:ascii="方正仿宋_GB2312" w:hAnsi="方正仿宋_GB2312" w:eastAsia="方正仿宋_GB2312" w:cs="方正仿宋_GB2312"/>
          <w:b/>
          <w:bCs/>
          <w:kern w:val="0"/>
          <w:sz w:val="28"/>
          <w:szCs w:val="28"/>
          <w:lang w:val="en-US" w:eastAsia="zh-CN" w:bidi="ar"/>
        </w:rPr>
        <w:t>1、验收</w:t>
      </w:r>
    </w:p>
    <w:p w14:paraId="4AFA0504">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验收由采购人、成交供应商双方相关人员组成，验收结果由双方签字认可。</w:t>
      </w:r>
    </w:p>
    <w:p w14:paraId="3878378C">
      <w:pPr>
        <w:keepNext w:val="0"/>
        <w:keepLines w:val="0"/>
        <w:pageBreakBefore w:val="0"/>
        <w:kinsoku/>
        <w:wordWrap/>
        <w:overflowPunct/>
        <w:topLinePunct w:val="0"/>
        <w:autoSpaceDE/>
        <w:autoSpaceDN/>
        <w:bidi w:val="0"/>
        <w:adjustRightInd/>
        <w:snapToGrid/>
        <w:spacing w:line="360" w:lineRule="exact"/>
        <w:textAlignment w:val="auto"/>
        <w:rPr>
          <w:rStyle w:val="14"/>
          <w:rFonts w:hint="eastAsia" w:ascii="方正仿宋_GB2312" w:hAnsi="方正仿宋_GB2312" w:eastAsia="方正仿宋_GB2312" w:cs="方正仿宋_GB2312"/>
          <w:b/>
          <w:bCs/>
          <w:kern w:val="0"/>
          <w:sz w:val="28"/>
          <w:szCs w:val="28"/>
          <w:lang w:val="en-US" w:eastAsia="zh-CN" w:bidi="ar"/>
        </w:rPr>
      </w:pPr>
      <w:r>
        <w:rPr>
          <w:rStyle w:val="14"/>
          <w:rFonts w:hint="eastAsia" w:ascii="方正仿宋_GB2312" w:hAnsi="方正仿宋_GB2312" w:eastAsia="方正仿宋_GB2312" w:cs="方正仿宋_GB2312"/>
          <w:b/>
          <w:bCs/>
          <w:kern w:val="0"/>
          <w:sz w:val="28"/>
          <w:szCs w:val="28"/>
          <w:lang w:val="en-US" w:eastAsia="zh-CN" w:bidi="ar"/>
        </w:rPr>
        <w:t>2、是否收取履约保证金：否</w:t>
      </w:r>
    </w:p>
    <w:p w14:paraId="3F06253C">
      <w:pPr>
        <w:keepNext w:val="0"/>
        <w:keepLines w:val="0"/>
        <w:pageBreakBefore w:val="0"/>
        <w:numPr>
          <w:ilvl w:val="0"/>
          <w:numId w:val="2"/>
        </w:numPr>
        <w:kinsoku/>
        <w:wordWrap/>
        <w:overflowPunct/>
        <w:topLinePunct w:val="0"/>
        <w:autoSpaceDE/>
        <w:autoSpaceDN/>
        <w:bidi w:val="0"/>
        <w:adjustRightInd/>
        <w:snapToGrid/>
        <w:spacing w:line="360" w:lineRule="exact"/>
        <w:textAlignment w:val="auto"/>
        <w:rPr>
          <w:rStyle w:val="14"/>
          <w:rFonts w:hint="eastAsia" w:ascii="方正仿宋_GB2312" w:hAnsi="方正仿宋_GB2312" w:eastAsia="方正仿宋_GB2312" w:cs="方正仿宋_GB2312"/>
          <w:b/>
          <w:bCs/>
          <w:kern w:val="0"/>
          <w:sz w:val="28"/>
          <w:szCs w:val="28"/>
          <w:lang w:val="en-US" w:eastAsia="zh-CN" w:bidi="ar"/>
        </w:rPr>
      </w:pPr>
      <w:r>
        <w:rPr>
          <w:rStyle w:val="14"/>
          <w:rFonts w:hint="eastAsia" w:ascii="方正仿宋_GB2312" w:hAnsi="方正仿宋_GB2312" w:eastAsia="方正仿宋_GB2312" w:cs="方正仿宋_GB2312"/>
          <w:b/>
          <w:bCs/>
          <w:kern w:val="0"/>
          <w:sz w:val="28"/>
          <w:szCs w:val="28"/>
          <w:lang w:val="en-US" w:eastAsia="zh-CN" w:bidi="ar"/>
        </w:rPr>
        <w:t>付款方式</w:t>
      </w:r>
    </w:p>
    <w:p w14:paraId="46590639">
      <w:pPr>
        <w:pStyle w:val="28"/>
        <w:keepNext w:val="0"/>
        <w:keepLines w:val="0"/>
        <w:pageBreakBefore w:val="0"/>
        <w:widowControl w:val="0"/>
        <w:kinsoku/>
        <w:wordWrap/>
        <w:overflowPunct/>
        <w:topLinePunct w:val="0"/>
        <w:autoSpaceDE/>
        <w:autoSpaceDN/>
        <w:bidi w:val="0"/>
        <w:adjustRightInd/>
        <w:snapToGrid w:val="0"/>
        <w:spacing w:line="360" w:lineRule="exact"/>
        <w:ind w:firstLine="560" w:firstLineChars="200"/>
        <w:jc w:val="left"/>
        <w:textAlignment w:val="auto"/>
        <w:outlineLvl w:val="1"/>
        <w:rPr>
          <w:rFonts w:hint="eastAsia" w:ascii="方正仿宋_GB2312" w:hAnsi="方正仿宋_GB2312" w:eastAsia="方正仿宋_GB2312" w:cs="方正仿宋_GB2312"/>
          <w:b w:val="0"/>
          <w:bCs/>
          <w:sz w:val="28"/>
          <w:szCs w:val="28"/>
          <w:highlight w:val="none"/>
          <w:lang w:val="en-US" w:eastAsia="zh-CN"/>
        </w:rPr>
      </w:pPr>
      <w:r>
        <w:rPr>
          <w:rFonts w:hint="eastAsia" w:ascii="方正仿宋_GB2312" w:hAnsi="方正仿宋_GB2312" w:eastAsia="方正仿宋_GB2312" w:cs="方正仿宋_GB2312"/>
          <w:b w:val="0"/>
          <w:bCs/>
          <w:sz w:val="28"/>
          <w:szCs w:val="28"/>
          <w:highlight w:val="none"/>
          <w:lang w:val="en-US" w:eastAsia="zh-CN"/>
        </w:rPr>
        <w:t>本项目为分三个阶段付款，第一阶段为服务期满12个月，采购人验收合格且收到成交供应商开具的正式等额发票后，10个工作日内向成交供应商支付合同总金额的30%；第二阶段为服务期满24个月，采购人验收合格且收到成交供应商开具的正式等额发票后，10个工作日内向成交供应商支付合同总金额的30%；第三阶段为服务期满后，采购人验收合格且收到成交供应商开具的正式等额发票后，10个工作日内向成交供应商支付合同总金额的40%。</w:t>
      </w:r>
    </w:p>
    <w:p w14:paraId="36427F25">
      <w:pPr>
        <w:keepNext w:val="0"/>
        <w:keepLines w:val="0"/>
        <w:pageBreakBefore w:val="0"/>
        <w:kinsoku/>
        <w:wordWrap/>
        <w:overflowPunct/>
        <w:topLinePunct w:val="0"/>
        <w:autoSpaceDE/>
        <w:autoSpaceDN/>
        <w:bidi w:val="0"/>
        <w:adjustRightInd/>
        <w:snapToGrid/>
        <w:spacing w:line="360" w:lineRule="exact"/>
        <w:textAlignment w:val="auto"/>
        <w:rPr>
          <w:rStyle w:val="14"/>
          <w:rFonts w:hint="eastAsia" w:ascii="方正仿宋_GB2312" w:hAnsi="方正仿宋_GB2312" w:eastAsia="方正仿宋_GB2312" w:cs="方正仿宋_GB2312"/>
          <w:b/>
          <w:bCs/>
          <w:kern w:val="0"/>
          <w:sz w:val="28"/>
          <w:szCs w:val="28"/>
          <w:lang w:val="en-US" w:eastAsia="zh-CN" w:bidi="ar"/>
        </w:rPr>
      </w:pPr>
      <w:r>
        <w:rPr>
          <w:rStyle w:val="14"/>
          <w:rFonts w:hint="eastAsia" w:ascii="方正仿宋_GB2312" w:hAnsi="方正仿宋_GB2312" w:eastAsia="方正仿宋_GB2312" w:cs="方正仿宋_GB2312"/>
          <w:b/>
          <w:bCs/>
          <w:kern w:val="0"/>
          <w:sz w:val="28"/>
          <w:szCs w:val="28"/>
          <w:lang w:val="en-US" w:eastAsia="zh-CN" w:bidi="ar"/>
        </w:rPr>
        <w:t>4、售后服务</w:t>
      </w:r>
    </w:p>
    <w:p w14:paraId="4F3A901D">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4.1、电话支持：提供7×24小时热线和技术支持服务，以便采购人及时反映现场使用情况和售后服务质量问题。</w:t>
      </w:r>
    </w:p>
    <w:p w14:paraId="759295B7">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4.2、远程连接服务：技术支持人员在客户授权后，通过网络远程进行技术服务，即时解决问题。</w:t>
      </w:r>
    </w:p>
    <w:p w14:paraId="4DD3F33D">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4.3、现场服务：在上面两种方式不能解决问题的情况下，安排技术人员4小时内上门服务。</w:t>
      </w:r>
    </w:p>
    <w:p w14:paraId="556B536E">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4.4、定期回访：每季度定期拜访，随时监测系统运行状况，一方面预防故障的发生，另一方面对发生的各种问题及时做出响应。</w:t>
      </w:r>
    </w:p>
    <w:p w14:paraId="32FDB865">
      <w:pPr>
        <w:keepNext w:val="0"/>
        <w:keepLines w:val="0"/>
        <w:pageBreakBefore w:val="0"/>
        <w:kinsoku/>
        <w:wordWrap/>
        <w:overflowPunct/>
        <w:topLinePunct w:val="0"/>
        <w:autoSpaceDE/>
        <w:autoSpaceDN/>
        <w:bidi w:val="0"/>
        <w:adjustRightInd/>
        <w:snapToGrid/>
        <w:spacing w:line="360" w:lineRule="exact"/>
        <w:ind w:left="0" w:leftChars="0" w:firstLine="560" w:firstLineChars="200"/>
        <w:textAlignment w:val="auto"/>
        <w:rPr>
          <w:rStyle w:val="14"/>
          <w:rFonts w:hint="eastAsia" w:ascii="方正仿宋_GB2312" w:hAnsi="方正仿宋_GB2312" w:eastAsia="方正仿宋_GB2312" w:cs="方正仿宋_GB2312"/>
          <w:b w:val="0"/>
          <w:bCs w:val="0"/>
          <w:kern w:val="0"/>
          <w:sz w:val="28"/>
          <w:szCs w:val="28"/>
          <w:lang w:val="en-US" w:eastAsia="zh-CN" w:bidi="ar"/>
        </w:rPr>
      </w:pPr>
      <w:r>
        <w:rPr>
          <w:rStyle w:val="14"/>
          <w:rFonts w:hint="eastAsia" w:ascii="方正仿宋_GB2312" w:hAnsi="方正仿宋_GB2312" w:eastAsia="方正仿宋_GB2312" w:cs="方正仿宋_GB2312"/>
          <w:b w:val="0"/>
          <w:bCs w:val="0"/>
          <w:kern w:val="0"/>
          <w:sz w:val="28"/>
          <w:szCs w:val="28"/>
          <w:lang w:val="en-US" w:eastAsia="zh-CN" w:bidi="ar"/>
        </w:rPr>
        <w:t>4.5、结合采购人实际情况，拟定详细的系统实施计划。承诺保证在合同服务期内系统基本运行平稳。</w:t>
      </w:r>
    </w:p>
    <w:p w14:paraId="75D3923A">
      <w:pPr>
        <w:keepNext w:val="0"/>
        <w:keepLines w:val="0"/>
        <w:pageBreakBefore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Style w:val="14"/>
          <w:rFonts w:hint="eastAsia" w:ascii="方正仿宋_GB2312" w:hAnsi="方正仿宋_GB2312" w:eastAsia="方正仿宋_GB2312" w:cs="方正仿宋_GB2312"/>
          <w:b/>
          <w:bCs/>
          <w:kern w:val="0"/>
          <w:sz w:val="28"/>
          <w:szCs w:val="28"/>
          <w:lang w:val="en-US" w:eastAsia="zh-CN" w:bidi="ar"/>
        </w:rPr>
        <w:t>5、违约责任</w:t>
      </w:r>
    </w:p>
    <w:p w14:paraId="61AA98B5">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5.1、在签定采购合同之后，</w:t>
      </w:r>
      <w:r>
        <w:rPr>
          <w:rStyle w:val="14"/>
          <w:rFonts w:hint="eastAsia" w:ascii="方正仿宋_GB2312" w:hAnsi="方正仿宋_GB2312" w:eastAsia="方正仿宋_GB2312" w:cs="方正仿宋_GB2312"/>
          <w:b w:val="0"/>
          <w:bCs w:val="0"/>
          <w:kern w:val="0"/>
          <w:sz w:val="28"/>
          <w:szCs w:val="28"/>
          <w:lang w:val="en-US" w:eastAsia="zh-CN" w:bidi="ar"/>
        </w:rPr>
        <w:t>成交供应商</w:t>
      </w:r>
      <w:r>
        <w:rPr>
          <w:rFonts w:hint="eastAsia" w:ascii="方正仿宋_GB2312" w:hAnsi="方正仿宋_GB2312" w:eastAsia="方正仿宋_GB2312" w:cs="方正仿宋_GB2312"/>
          <w:b w:val="0"/>
          <w:bCs w:val="0"/>
          <w:kern w:val="2"/>
          <w:sz w:val="28"/>
          <w:szCs w:val="28"/>
          <w:highlight w:val="none"/>
          <w:lang w:val="en-US" w:eastAsia="zh-CN" w:bidi="ar-SA"/>
        </w:rPr>
        <w:t>提供的服务实际情况与响应文件响应不符，或未按合同规定的质量提供服务的，视为不合格，采购人有权拒收并解除合同，</w:t>
      </w:r>
      <w:r>
        <w:rPr>
          <w:rStyle w:val="14"/>
          <w:rFonts w:hint="eastAsia" w:ascii="方正仿宋_GB2312" w:hAnsi="方正仿宋_GB2312" w:eastAsia="方正仿宋_GB2312" w:cs="方正仿宋_GB2312"/>
          <w:b w:val="0"/>
          <w:bCs w:val="0"/>
          <w:kern w:val="0"/>
          <w:sz w:val="28"/>
          <w:szCs w:val="28"/>
          <w:lang w:val="en-US" w:eastAsia="zh-CN" w:bidi="ar"/>
        </w:rPr>
        <w:t>成交供应商</w:t>
      </w:r>
      <w:r>
        <w:rPr>
          <w:rFonts w:hint="eastAsia" w:ascii="方正仿宋_GB2312" w:hAnsi="方正仿宋_GB2312" w:eastAsia="方正仿宋_GB2312" w:cs="方正仿宋_GB2312"/>
          <w:b w:val="0"/>
          <w:bCs w:val="0"/>
          <w:kern w:val="2"/>
          <w:sz w:val="28"/>
          <w:szCs w:val="28"/>
          <w:highlight w:val="none"/>
          <w:lang w:val="en-US" w:eastAsia="zh-CN" w:bidi="ar-SA"/>
        </w:rPr>
        <w:t>向采购人支付合同总金额30%的违约金，由此造成的直接损失和间接损失还应由</w:t>
      </w:r>
      <w:r>
        <w:rPr>
          <w:rStyle w:val="14"/>
          <w:rFonts w:hint="eastAsia" w:ascii="方正仿宋_GB2312" w:hAnsi="方正仿宋_GB2312" w:eastAsia="方正仿宋_GB2312" w:cs="方正仿宋_GB2312"/>
          <w:b w:val="0"/>
          <w:bCs w:val="0"/>
          <w:kern w:val="0"/>
          <w:sz w:val="28"/>
          <w:szCs w:val="28"/>
          <w:lang w:val="en-US" w:eastAsia="zh-CN" w:bidi="ar"/>
        </w:rPr>
        <w:t>成交供应商</w:t>
      </w:r>
      <w:r>
        <w:rPr>
          <w:rFonts w:hint="eastAsia" w:ascii="方正仿宋_GB2312" w:hAnsi="方正仿宋_GB2312" w:eastAsia="方正仿宋_GB2312" w:cs="方正仿宋_GB2312"/>
          <w:b w:val="0"/>
          <w:bCs w:val="0"/>
          <w:kern w:val="2"/>
          <w:sz w:val="28"/>
          <w:szCs w:val="28"/>
          <w:highlight w:val="none"/>
          <w:lang w:val="en-US" w:eastAsia="zh-CN" w:bidi="ar-SA"/>
        </w:rPr>
        <w:t>赔偿。</w:t>
      </w:r>
    </w:p>
    <w:p w14:paraId="5A521CA6">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5.2、成交供应商逾期交货的（不可抗力除外），每逾期一天，偿付200元违约金；若成交供应商逾期达30天（含）以上的，采购人有权单方面解除合同并要求成交供应商支付合同总金额30%的违约金，成交供应商仍应按上述约定支付延期交货违约金。若因此给采购人造成损失的，还应赔偿采购人所受的损失。</w:t>
      </w:r>
    </w:p>
    <w:p w14:paraId="2CE16699">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5.3、成交供应商未能按合同约定的时间提供服务的，每逾期一天，成交供应商应向采购人支付200元违约金，若因此给采购人造成损失的，成交供应商还应赔偿采购人所受的损失。</w:t>
      </w:r>
    </w:p>
    <w:p w14:paraId="7C5EC31C">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5.4、成交供应商未能按合同约定的时间提供售后质保服务的，每逾期一天，成交供应商应向采购人支付200元违约金，若因此给采购人造成损失的，成交供应商还应赔偿采购人所受的损失。且采购人有权寻找第三方提供服务，所需费用采购人有权在未付合同款中直接扣除，未付合同款不足以抵扣的，采购人有权向成交供应商追偿。</w:t>
      </w:r>
    </w:p>
    <w:p w14:paraId="113F34BA">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5.5、成交供应商提供的服务未达到合同约定的标准，应在采购人规定的时间内予以整改，每逾期一天，成交供应商应向采购人支付200元违约金，若因此给采购人造成损失的，成交供应商还应赔偿采购人所受的损失。未在规定时间内整改完成的，采购人有权单方面解除合同并要求成交供应商支付合同总金额30%的违约金，成交供应商仍应按上述约定支付逾期违约金。</w:t>
      </w:r>
    </w:p>
    <w:p w14:paraId="553FF467">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5.6、采购人有权在未付合同款中直接扣减成交供应商应付违约金。未付合同款不足以支付违约金的，采购人有权追索和索赔。</w:t>
      </w:r>
    </w:p>
    <w:p w14:paraId="2BC7869F">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5.7、成交供应商履行义务不符合合同规定时，若成交供应商未在接到采购人通知起七天内缴纳违约金的，采购人有权扣减合同款。合同款不足以赔偿的，采购人有权提出追索和索赔。</w:t>
      </w:r>
    </w:p>
    <w:p w14:paraId="00982A31">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5.8、因成交供应商原因发生重大质量事故或数据安全事故（包括但不限于数据丢失、数据泄密等），成交供应商应赔偿采购人因此产生的一切损失，采购人有权单方面解除合同并要求成交供应商支付合同总金额30%的违约金。成交供应商除依约承担修复责任及赔偿责任外，还将按有关质量管理办法规定执行。同时，采购人有权报相关行政主管部门处罚。</w:t>
      </w:r>
    </w:p>
    <w:p w14:paraId="585092EA">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5.9、任何一方因对方违约，向违约方主张权利所支出的律师费、诉讼费/仲裁费、保全费、差旅费等费用均有权要求违约方承担。</w:t>
      </w:r>
    </w:p>
    <w:p w14:paraId="6D017BC9">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jc w:val="both"/>
        <w:textAlignment w:val="auto"/>
        <w:rPr>
          <w:rFonts w:hint="eastAsia" w:ascii="方正仿宋_GB2312" w:hAnsi="方正仿宋_GB2312" w:eastAsia="方正仿宋_GB2312" w:cs="方正仿宋_GB2312"/>
          <w:b/>
          <w:bCs/>
          <w:kern w:val="2"/>
          <w:sz w:val="28"/>
          <w:szCs w:val="28"/>
          <w:highlight w:val="none"/>
          <w:lang w:val="en-US" w:eastAsia="zh-CN" w:bidi="ar-SA"/>
        </w:rPr>
      </w:pPr>
      <w:r>
        <w:rPr>
          <w:rFonts w:hint="eastAsia" w:ascii="方正仿宋_GB2312" w:hAnsi="方正仿宋_GB2312" w:eastAsia="方正仿宋_GB2312" w:cs="方正仿宋_GB2312"/>
          <w:b/>
          <w:bCs/>
          <w:kern w:val="2"/>
          <w:sz w:val="28"/>
          <w:szCs w:val="28"/>
          <w:highlight w:val="none"/>
          <w:lang w:val="en-US" w:eastAsia="zh-CN" w:bidi="ar-SA"/>
        </w:rPr>
        <w:t>6、知识产权和保密义务</w:t>
      </w:r>
    </w:p>
    <w:p w14:paraId="37D39B06">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6.1、采购人有权将成交供应商所提供的一切与本项目有关的资料分发给与本项目相关的各方，并不由此而构成任何侵权，但不得向任何与本项目无关的第三方提供。</w:t>
      </w:r>
    </w:p>
    <w:p w14:paraId="4396F6B9">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6.2、项目实施期间和完成之后，本项目的资料、数据、研究成果等的所有权属于采购人，且无需经成交供应商同意，采购人可无偿、自主使用。</w:t>
      </w:r>
    </w:p>
    <w:p w14:paraId="459FD818">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6.3、本项目的所有权、使用权归采购人所有。</w:t>
      </w:r>
    </w:p>
    <w:p w14:paraId="4B6A4BBC">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val="0"/>
          <w:bCs w:val="0"/>
          <w:kern w:val="2"/>
          <w:sz w:val="28"/>
          <w:szCs w:val="28"/>
          <w:highlight w:val="none"/>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6.4、成交供应商保证，采购人在中华人民共和国境内使用由成交供应商提供的系统软件或其他任何一部分时，都是合法的，不会受到第三方提出的侵权责任的追究，不致使采购人蒙受任何费用、损害、赔偿、请求、追讨或法律行动等方面的损失，上述行为所造成的后果由成交供应商承担。</w:t>
      </w:r>
    </w:p>
    <w:p w14:paraId="63552D0D">
      <w:pPr>
        <w:pStyle w:val="26"/>
        <w:keepNext w:val="0"/>
        <w:keepLines w:val="0"/>
        <w:pageBreakBefore w:val="0"/>
        <w:numPr>
          <w:ilvl w:val="0"/>
          <w:numId w:val="0"/>
        </w:numPr>
        <w:kinsoku/>
        <w:wordWrap/>
        <w:overflowPunct/>
        <w:topLinePunct w:val="0"/>
        <w:autoSpaceDE/>
        <w:autoSpaceDN/>
        <w:bidi w:val="0"/>
        <w:adjustRightInd/>
        <w:snapToGrid/>
        <w:spacing w:after="150" w:line="360" w:lineRule="exact"/>
        <w:ind w:firstLine="560" w:firstLineChars="200"/>
        <w:jc w:val="both"/>
        <w:textAlignment w:val="auto"/>
        <w:rPr>
          <w:rFonts w:hint="eastAsia" w:ascii="方正仿宋_GB2312" w:hAnsi="方正仿宋_GB2312" w:eastAsia="方正仿宋_GB2312" w:cs="方正仿宋_GB2312"/>
          <w:b/>
          <w:bCs/>
          <w:kern w:val="2"/>
          <w:sz w:val="28"/>
          <w:szCs w:val="28"/>
          <w:lang w:val="en-US" w:eastAsia="zh-CN" w:bidi="ar-SA"/>
        </w:rPr>
      </w:pPr>
      <w:r>
        <w:rPr>
          <w:rFonts w:hint="eastAsia" w:ascii="方正仿宋_GB2312" w:hAnsi="方正仿宋_GB2312" w:eastAsia="方正仿宋_GB2312" w:cs="方正仿宋_GB2312"/>
          <w:b w:val="0"/>
          <w:bCs w:val="0"/>
          <w:kern w:val="2"/>
          <w:sz w:val="28"/>
          <w:szCs w:val="28"/>
          <w:highlight w:val="none"/>
          <w:lang w:val="en-US" w:eastAsia="zh-CN" w:bidi="ar-SA"/>
        </w:rPr>
        <w:t>6.5、成交供应商承担的保密义务在本项目终止后继续有效，不受时间限制。</w:t>
      </w:r>
    </w:p>
    <w:p w14:paraId="17074D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kern w:val="2"/>
          <w:sz w:val="28"/>
          <w:szCs w:val="28"/>
          <w:lang w:val="en-US" w:eastAsia="zh-CN" w:bidi="ar-SA"/>
        </w:rPr>
      </w:pPr>
      <w:r>
        <w:rPr>
          <w:rFonts w:hint="eastAsia" w:ascii="方正仿宋_GB2312" w:hAnsi="方正仿宋_GB2312" w:eastAsia="方正仿宋_GB2312" w:cs="方正仿宋_GB2312"/>
          <w:b/>
          <w:bCs/>
          <w:kern w:val="2"/>
          <w:sz w:val="28"/>
          <w:szCs w:val="28"/>
          <w:lang w:val="en-US" w:eastAsia="zh-CN" w:bidi="ar-SA"/>
        </w:rPr>
        <w:t>五、供应商资格要求及审查办法</w:t>
      </w:r>
    </w:p>
    <w:p w14:paraId="3F7390A9">
      <w:pPr>
        <w:pStyle w:val="4"/>
        <w:keepNext w:val="0"/>
        <w:keepLines w:val="0"/>
        <w:pageBreakBefore w:val="0"/>
        <w:numPr>
          <w:ilvl w:val="0"/>
          <w:numId w:val="0"/>
        </w:numPr>
        <w:kinsoku/>
        <w:wordWrap/>
        <w:overflowPunct/>
        <w:topLinePunct w:val="0"/>
        <w:autoSpaceDE/>
        <w:autoSpaceDN/>
        <w:bidi w:val="0"/>
        <w:adjustRightInd/>
        <w:snapToGrid/>
        <w:spacing w:line="360" w:lineRule="exact"/>
        <w:ind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1.供应商应是具备独立企业法人资格,有能力承接本项目的国内企业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kern w:val="2"/>
          <w:sz w:val="28"/>
          <w:szCs w:val="28"/>
          <w:lang w:val="en-US" w:eastAsia="zh-CN" w:bidi="ar-SA"/>
        </w:rPr>
        <w:t>2.法定代表人授权书原件（若是单位负责人参加谈判的可无须提供本函），(供应商应按照附件“响应</w:t>
      </w:r>
      <w:r>
        <w:rPr>
          <w:rFonts w:hint="eastAsia" w:ascii="方正仿宋_GB2312" w:hAnsi="方正仿宋_GB2312" w:eastAsia="方正仿宋_GB2312" w:cs="方正仿宋_GB2312"/>
          <w:color w:val="auto"/>
          <w:spacing w:val="0"/>
          <w:sz w:val="28"/>
          <w:szCs w:val="28"/>
          <w:highlight w:val="none"/>
        </w:rPr>
        <w:t>文件格式”)；</w:t>
      </w:r>
    </w:p>
    <w:p w14:paraId="70C48CA1">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3.</w:t>
      </w:r>
      <w:r>
        <w:rPr>
          <w:rFonts w:hint="eastAsia" w:ascii="方正仿宋_GB2312" w:hAnsi="方正仿宋_GB2312" w:eastAsia="方正仿宋_GB2312" w:cs="方正仿宋_GB2312"/>
          <w:color w:val="auto"/>
          <w:spacing w:val="0"/>
          <w:sz w:val="28"/>
          <w:szCs w:val="28"/>
          <w:highlight w:val="none"/>
        </w:rPr>
        <w:t>依法缴纳税收和社会保障资金的承诺函或提供投标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截止时间前六个月（不含投标</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响应</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rPr>
        <w:t>截止时间的当月）中任一个月的依法缴纳税收</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完税证明或无欠税证明</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pacing w:val="0"/>
          <w:sz w:val="28"/>
          <w:szCs w:val="28"/>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4.</w:t>
      </w:r>
      <w:r>
        <w:rPr>
          <w:rFonts w:hint="eastAsia" w:ascii="方正仿宋_GB2312" w:hAnsi="方正仿宋_GB2312" w:eastAsia="方正仿宋_GB2312" w:cs="方正仿宋_GB2312"/>
          <w:color w:val="auto"/>
          <w:spacing w:val="0"/>
          <w:sz w:val="28"/>
          <w:szCs w:val="28"/>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5.</w:t>
      </w:r>
      <w:r>
        <w:rPr>
          <w:rFonts w:hint="eastAsia" w:ascii="方正仿宋_GB2312" w:hAnsi="方正仿宋_GB2312" w:eastAsia="方正仿宋_GB2312" w:cs="方正仿宋_GB2312"/>
          <w:color w:val="auto"/>
          <w:spacing w:val="0"/>
          <w:sz w:val="28"/>
          <w:szCs w:val="28"/>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6.</w:t>
      </w:r>
      <w:r>
        <w:rPr>
          <w:rFonts w:hint="eastAsia" w:ascii="方正仿宋_GB2312" w:hAnsi="方正仿宋_GB2312" w:eastAsia="方正仿宋_GB2312" w:cs="方正仿宋_GB2312"/>
          <w:color w:val="auto"/>
          <w:spacing w:val="0"/>
          <w:sz w:val="28"/>
          <w:szCs w:val="28"/>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0"/>
          <w:sz w:val="28"/>
          <w:szCs w:val="28"/>
          <w:highlight w:val="none"/>
          <w:lang w:val="en-US" w:eastAsia="zh-CN"/>
        </w:rPr>
        <w:t>7.</w:t>
      </w:r>
      <w:r>
        <w:rPr>
          <w:rFonts w:hint="eastAsia" w:ascii="方正仿宋_GB2312" w:hAnsi="方正仿宋_GB2312" w:eastAsia="方正仿宋_GB2312" w:cs="方正仿宋_GB2312"/>
          <w:color w:val="auto"/>
          <w:spacing w:val="0"/>
          <w:sz w:val="28"/>
          <w:szCs w:val="28"/>
          <w:highlight w:val="none"/>
        </w:rPr>
        <w:t>本项目不接受联合体</w:t>
      </w:r>
      <w:r>
        <w:rPr>
          <w:rFonts w:hint="eastAsia" w:ascii="方正仿宋_GB2312" w:hAnsi="方正仿宋_GB2312" w:eastAsia="方正仿宋_GB2312" w:cs="方正仿宋_GB2312"/>
          <w:color w:val="auto"/>
          <w:spacing w:val="0"/>
          <w:sz w:val="28"/>
          <w:szCs w:val="28"/>
          <w:highlight w:val="none"/>
          <w:lang w:val="en-US" w:eastAsia="zh-CN"/>
        </w:rPr>
        <w:t>谈判</w:t>
      </w:r>
      <w:r>
        <w:rPr>
          <w:rFonts w:hint="eastAsia" w:ascii="方正仿宋_GB2312" w:hAnsi="方正仿宋_GB2312" w:eastAsia="方正仿宋_GB2312" w:cs="方正仿宋_GB2312"/>
          <w:color w:val="auto"/>
          <w:spacing w:val="0"/>
          <w:sz w:val="28"/>
          <w:szCs w:val="28"/>
          <w:highlight w:val="none"/>
        </w:rPr>
        <w:t>，不允许分包</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转包</w:t>
      </w:r>
      <w:r>
        <w:rPr>
          <w:rFonts w:hint="eastAsia" w:ascii="方正仿宋_GB2312" w:hAnsi="方正仿宋_GB2312" w:eastAsia="方正仿宋_GB2312" w:cs="方正仿宋_GB2312"/>
          <w:color w:val="auto"/>
          <w:sz w:val="28"/>
          <w:szCs w:val="28"/>
          <w:highlight w:val="none"/>
        </w:rPr>
        <w:t>（需提供承诺函或声明函）。</w:t>
      </w:r>
    </w:p>
    <w:p w14:paraId="5E50E322">
      <w:pPr>
        <w:keepNext w:val="0"/>
        <w:keepLines w:val="0"/>
        <w:pageBreakBefore w:val="0"/>
        <w:widowControl w:val="0"/>
        <w:kinsoku/>
        <w:wordWrap/>
        <w:overflowPunct/>
        <w:topLinePunct w:val="0"/>
        <w:autoSpaceDE/>
        <w:autoSpaceDN/>
        <w:bidi w:val="0"/>
        <w:adjustRightInd/>
        <w:snapToGrid/>
        <w:spacing w:line="360" w:lineRule="exact"/>
        <w:ind w:firstLine="840" w:firstLineChars="300"/>
        <w:jc w:val="left"/>
        <w:textAlignment w:val="auto"/>
        <w:outlineLvl w:val="9"/>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color w:val="auto"/>
          <w:sz w:val="28"/>
          <w:szCs w:val="28"/>
          <w:highlight w:val="none"/>
          <w:lang w:val="en-US" w:eastAsia="zh-CN"/>
        </w:rPr>
        <w:t>8.</w:t>
      </w:r>
      <w:r>
        <w:rPr>
          <w:rFonts w:hint="eastAsia" w:ascii="方正仿宋_GB2312" w:hAnsi="方正仿宋_GB2312" w:eastAsia="方正仿宋_GB2312" w:cs="方正仿宋_GB2312"/>
          <w:sz w:val="28"/>
          <w:szCs w:val="28"/>
        </w:rPr>
        <w:t>本项目为</w:t>
      </w:r>
      <w:r>
        <w:rPr>
          <w:rFonts w:hint="eastAsia" w:ascii="方正仿宋_GB2312" w:hAnsi="方正仿宋_GB2312" w:eastAsia="方正仿宋_GB2312" w:cs="方正仿宋_GB2312"/>
          <w:sz w:val="28"/>
          <w:szCs w:val="28"/>
          <w:lang w:val="en-US" w:eastAsia="zh-CN"/>
        </w:rPr>
        <w:t>非</w:t>
      </w:r>
      <w:r>
        <w:rPr>
          <w:rFonts w:hint="eastAsia" w:ascii="方正仿宋_GB2312" w:hAnsi="方正仿宋_GB2312" w:eastAsia="方正仿宋_GB2312" w:cs="方正仿宋_GB2312"/>
          <w:sz w:val="28"/>
          <w:szCs w:val="28"/>
        </w:rPr>
        <w:t>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工程、服务）。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方正仿宋_GB2312" w:hAnsi="方正仿宋_GB2312" w:eastAsia="方正仿宋_GB2312" w:cs="方正仿宋_GB2312"/>
          <w:sz w:val="28"/>
          <w:szCs w:val="28"/>
          <w:lang w:val="en-US" w:eastAsia="zh-CN"/>
        </w:rPr>
        <w:t>服务</w:t>
      </w:r>
      <w:r>
        <w:rPr>
          <w:rFonts w:hint="eastAsia" w:ascii="方正仿宋_GB2312" w:hAnsi="方正仿宋_GB2312" w:eastAsia="方正仿宋_GB2312" w:cs="方正仿宋_GB2312"/>
          <w:sz w:val="28"/>
          <w:szCs w:val="28"/>
        </w:rPr>
        <w:t>类采购项目，本项目（采购标的）所属行业为“</w:t>
      </w:r>
      <w:r>
        <w:rPr>
          <w:rFonts w:hint="eastAsia" w:ascii="方正仿宋_GB2312" w:hAnsi="方正仿宋_GB2312" w:eastAsia="方正仿宋_GB2312" w:cs="方正仿宋_GB2312"/>
          <w:sz w:val="28"/>
          <w:szCs w:val="28"/>
          <w:lang w:val="en-US" w:eastAsia="zh-CN"/>
        </w:rPr>
        <w:t>软件和信息技术服务业</w:t>
      </w:r>
      <w:r>
        <w:rPr>
          <w:rFonts w:hint="eastAsia" w:ascii="方正仿宋_GB2312" w:hAnsi="方正仿宋_GB2312" w:eastAsia="方正仿宋_GB2312" w:cs="方正仿宋_GB2312"/>
          <w:sz w:val="28"/>
          <w:szCs w:val="28"/>
        </w:rPr>
        <w:t>”。</w:t>
      </w:r>
    </w:p>
    <w:p w14:paraId="769157F4">
      <w:pPr>
        <w:keepNext w:val="0"/>
        <w:keepLines w:val="0"/>
        <w:pageBreakBefore w:val="0"/>
        <w:widowControl/>
        <w:kinsoku/>
        <w:wordWrap/>
        <w:overflowPunct/>
        <w:topLinePunct w:val="0"/>
        <w:autoSpaceDE/>
        <w:autoSpaceDN/>
        <w:bidi w:val="0"/>
        <w:adjustRightInd/>
        <w:snapToGrid/>
        <w:spacing w:beforeLines="0" w:afterLines="0" w:line="360" w:lineRule="exact"/>
        <w:ind w:firstLine="560" w:firstLineChars="200"/>
        <w:jc w:val="left"/>
        <w:textAlignment w:val="auto"/>
        <w:outlineLvl w:val="9"/>
        <w:rPr>
          <w:rFonts w:hint="eastAsia" w:ascii="方正仿宋_GB2312" w:hAnsi="方正仿宋_GB2312" w:eastAsia="方正仿宋_GB2312" w:cs="方正仿宋_GB2312"/>
          <w:color w:val="auto"/>
          <w:spacing w:val="0"/>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val="en-US" w:eastAsia="zh-CN"/>
        </w:rPr>
        <w:t>（二）</w:t>
      </w:r>
      <w:r>
        <w:rPr>
          <w:rFonts w:hint="eastAsia" w:ascii="方正仿宋_GB2312" w:hAnsi="方正仿宋_GB2312" w:eastAsia="方正仿宋_GB2312" w:cs="方正仿宋_GB2312"/>
          <w:color w:val="auto"/>
          <w:spacing w:val="0"/>
          <w:kern w:val="2"/>
          <w:sz w:val="28"/>
          <w:szCs w:val="28"/>
          <w:highlight w:val="none"/>
          <w:lang w:val="en-US" w:eastAsia="zh-CN" w:bidi="ar-SA"/>
        </w:rPr>
        <w:t>资格承诺函</w:t>
      </w:r>
      <w:r>
        <w:rPr>
          <w:rFonts w:hint="eastAsia" w:ascii="方正仿宋_GB2312" w:hAnsi="方正仿宋_GB2312" w:eastAsia="方正仿宋_GB2312" w:cs="方正仿宋_GB2312"/>
          <w:color w:val="auto"/>
          <w:spacing w:val="0"/>
          <w:sz w:val="28"/>
          <w:szCs w:val="28"/>
          <w:highlight w:val="none"/>
          <w:lang w:eastAsia="zh-CN"/>
        </w:rPr>
        <w:t>：</w:t>
      </w:r>
    </w:p>
    <w:p w14:paraId="7CA8E8E5">
      <w:pPr>
        <w:pStyle w:val="5"/>
        <w:keepNext w:val="0"/>
        <w:keepLines w:val="0"/>
        <w:pageBreakBefore w:val="0"/>
        <w:kinsoku/>
        <w:wordWrap/>
        <w:overflowPunct/>
        <w:topLinePunct w:val="0"/>
        <w:autoSpaceDE/>
        <w:autoSpaceDN/>
        <w:bidi w:val="0"/>
        <w:adjustRightInd/>
        <w:snapToGrid/>
        <w:spacing w:line="360" w:lineRule="exact"/>
        <w:rPr>
          <w:rFonts w:hint="eastAsia" w:ascii="方正仿宋_GB2312" w:hAnsi="方正仿宋_GB2312" w:eastAsia="方正仿宋_GB2312" w:cs="方正仿宋_GB2312"/>
          <w:color w:val="auto"/>
          <w:spacing w:val="0"/>
          <w:kern w:val="2"/>
          <w:sz w:val="28"/>
          <w:szCs w:val="28"/>
          <w:highlight w:val="none"/>
          <w:lang w:val="en-US" w:eastAsia="zh-CN" w:bidi="ar-SA"/>
        </w:rPr>
      </w:pPr>
      <w:r>
        <w:rPr>
          <w:rFonts w:hint="eastAsia" w:ascii="方正仿宋_GB2312" w:hAnsi="方正仿宋_GB2312" w:eastAsia="方正仿宋_GB2312" w:cs="方正仿宋_GB2312"/>
          <w:color w:val="auto"/>
          <w:spacing w:val="0"/>
          <w:kern w:val="2"/>
          <w:sz w:val="28"/>
          <w:szCs w:val="28"/>
          <w:highlight w:val="none"/>
          <w:lang w:val="en-US" w:eastAsia="zh-CN" w:bidi="ar-SA"/>
        </w:rPr>
        <w:t xml:space="preserve">    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p w14:paraId="47BE47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color w:val="auto"/>
          <w:spacing w:val="0"/>
          <w:sz w:val="28"/>
          <w:szCs w:val="28"/>
          <w:highlight w:val="none"/>
          <w:lang w:val="en-US" w:eastAsia="zh-CN"/>
        </w:rPr>
        <w:t>三</w:t>
      </w:r>
      <w:r>
        <w:rPr>
          <w:rFonts w:hint="eastAsia" w:ascii="方正仿宋_GB2312" w:hAnsi="方正仿宋_GB2312" w:eastAsia="方正仿宋_GB2312" w:cs="方正仿宋_GB2312"/>
          <w:color w:val="auto"/>
          <w:spacing w:val="0"/>
          <w:sz w:val="28"/>
          <w:szCs w:val="28"/>
          <w:highlight w:val="none"/>
          <w:lang w:eastAsia="zh-CN"/>
        </w:rPr>
        <w:t>）</w:t>
      </w:r>
      <w:r>
        <w:rPr>
          <w:rFonts w:hint="eastAsia" w:ascii="方正仿宋_GB2312" w:hAnsi="方正仿宋_GB2312" w:eastAsia="方正仿宋_GB2312" w:cs="方正仿宋_GB2312"/>
          <w:b/>
          <w:bCs/>
          <w:color w:val="auto"/>
          <w:spacing w:val="0"/>
          <w:sz w:val="28"/>
          <w:szCs w:val="28"/>
          <w:highlight w:val="none"/>
          <w:lang w:val="en-US" w:eastAsia="zh-CN"/>
        </w:rPr>
        <w:t>特定资格要求：</w:t>
      </w:r>
      <w:r>
        <w:rPr>
          <w:rFonts w:hint="eastAsia" w:ascii="方正仿宋_GB2312" w:hAnsi="方正仿宋_GB2312" w:eastAsia="方正仿宋_GB2312" w:cs="方正仿宋_GB2312"/>
          <w:b/>
          <w:bCs/>
          <w:color w:val="auto"/>
          <w:spacing w:val="0"/>
          <w:sz w:val="28"/>
          <w:szCs w:val="28"/>
          <w:highlight w:val="none"/>
          <w:lang w:eastAsia="zh-CN"/>
        </w:rPr>
        <w:t>无。</w:t>
      </w:r>
    </w:p>
    <w:p w14:paraId="6EAB413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四</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资格审查采用方式：截标后即开始评审。</w:t>
      </w:r>
    </w:p>
    <w:p w14:paraId="533865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五</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本项目为非政府采购项目，参照政府采购竞争性谈判的流程进行。供应商应对响应文件资料的真实性负责，</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在授予合同之前有权对其响应文件资料进行核实，如发现所提交的资料不真实，</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将视其为以弄虚作假方式骗取中标</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成交</w:t>
      </w:r>
      <w:r>
        <w:rPr>
          <w:rFonts w:hint="eastAsia" w:ascii="方正仿宋_GB2312" w:hAnsi="方正仿宋_GB2312" w:eastAsia="方正仿宋_GB2312" w:cs="方正仿宋_GB2312"/>
          <w:color w:val="auto"/>
          <w:sz w:val="28"/>
          <w:szCs w:val="28"/>
          <w:highlight w:val="none"/>
        </w:rPr>
        <w:t>，其成交无效，若给</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造成损失的，应依法承担赔偿责任。</w:t>
      </w:r>
    </w:p>
    <w:p w14:paraId="3580F6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六</w:t>
      </w:r>
      <w:r>
        <w:rPr>
          <w:rStyle w:val="14"/>
          <w:rFonts w:hint="eastAsia" w:ascii="方正仿宋_GB2312" w:hAnsi="方正仿宋_GB2312" w:eastAsia="方正仿宋_GB2312" w:cs="方正仿宋_GB2312"/>
          <w:b/>
          <w:bCs w:val="0"/>
          <w:color w:val="auto"/>
          <w:sz w:val="28"/>
          <w:szCs w:val="28"/>
          <w:highlight w:val="none"/>
        </w:rPr>
        <w:t>、</w:t>
      </w:r>
      <w:r>
        <w:rPr>
          <w:rStyle w:val="14"/>
          <w:rFonts w:hint="eastAsia" w:ascii="方正仿宋_GB2312" w:hAnsi="方正仿宋_GB2312" w:eastAsia="方正仿宋_GB2312" w:cs="方正仿宋_GB2312"/>
          <w:b/>
          <w:bCs w:val="0"/>
          <w:color w:val="auto"/>
          <w:sz w:val="28"/>
          <w:szCs w:val="28"/>
          <w:highlight w:val="none"/>
          <w:lang w:eastAsia="zh-CN"/>
        </w:rPr>
        <w:t>谈判文件</w:t>
      </w:r>
      <w:r>
        <w:rPr>
          <w:rStyle w:val="14"/>
          <w:rFonts w:hint="eastAsia" w:ascii="方正仿宋_GB2312" w:hAnsi="方正仿宋_GB2312" w:eastAsia="方正仿宋_GB2312" w:cs="方正仿宋_GB2312"/>
          <w:b/>
          <w:bCs w:val="0"/>
          <w:color w:val="auto"/>
          <w:sz w:val="28"/>
          <w:szCs w:val="28"/>
          <w:highlight w:val="none"/>
        </w:rPr>
        <w:t>的获取</w:t>
      </w:r>
    </w:p>
    <w:p w14:paraId="670B939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1、本谈判项目不采用电子谈判</w:t>
      </w:r>
    </w:p>
    <w:p w14:paraId="1F5B00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b w:val="0"/>
          <w:color w:val="auto"/>
          <w:spacing w:val="0"/>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2、</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lang w:eastAsia="zh-CN"/>
        </w:rPr>
        <w:t>文件</w:t>
      </w:r>
      <w:r>
        <w:rPr>
          <w:rFonts w:hint="eastAsia" w:ascii="方正仿宋_GB2312" w:hAnsi="方正仿宋_GB2312" w:eastAsia="方正仿宋_GB2312" w:cs="方正仿宋_GB2312"/>
          <w:color w:val="auto"/>
          <w:sz w:val="28"/>
          <w:szCs w:val="28"/>
          <w:highlight w:val="none"/>
        </w:rPr>
        <w:t>请自行在网站上</w:t>
      </w:r>
      <w:r>
        <w:rPr>
          <w:rFonts w:hint="eastAsia" w:ascii="方正仿宋_GB2312" w:hAnsi="方正仿宋_GB2312" w:eastAsia="方正仿宋_GB2312" w:cs="方正仿宋_GB2312"/>
          <w:color w:val="auto"/>
          <w:sz w:val="28"/>
          <w:szCs w:val="28"/>
          <w:highlight w:val="none"/>
          <w:lang w:eastAsia="zh-CN"/>
        </w:rPr>
        <w:t>查看：</w:t>
      </w:r>
      <w:r>
        <w:rPr>
          <w:rFonts w:hint="eastAsia" w:ascii="方正仿宋_GB2312" w:hAnsi="方正仿宋_GB2312" w:eastAsia="方正仿宋_GB2312" w:cs="方正仿宋_GB2312"/>
          <w:b w:val="0"/>
          <w:color w:val="auto"/>
          <w:spacing w:val="0"/>
          <w:sz w:val="28"/>
          <w:szCs w:val="28"/>
          <w:highlight w:val="none"/>
          <w:lang w:val="en-US" w:eastAsia="zh-CN"/>
        </w:rPr>
        <w:fldChar w:fldCharType="begin"/>
      </w:r>
      <w:r>
        <w:rPr>
          <w:rFonts w:hint="eastAsia" w:ascii="方正仿宋_GB2312" w:hAnsi="方正仿宋_GB2312" w:eastAsia="方正仿宋_GB2312" w:cs="方正仿宋_GB2312"/>
          <w:b w:val="0"/>
          <w:color w:val="auto"/>
          <w:spacing w:val="0"/>
          <w:sz w:val="28"/>
          <w:szCs w:val="28"/>
          <w:highlight w:val="none"/>
          <w:lang w:val="en-US" w:eastAsia="zh-CN"/>
        </w:rPr>
        <w:instrText xml:space="preserve"> HYPERLINK "http://www.fjsj.com/" </w:instrText>
      </w:r>
      <w:r>
        <w:rPr>
          <w:rFonts w:hint="eastAsia" w:ascii="方正仿宋_GB2312" w:hAnsi="方正仿宋_GB2312" w:eastAsia="方正仿宋_GB2312" w:cs="方正仿宋_GB2312"/>
          <w:b w:val="0"/>
          <w:color w:val="auto"/>
          <w:spacing w:val="0"/>
          <w:sz w:val="28"/>
          <w:szCs w:val="28"/>
          <w:highlight w:val="none"/>
          <w:lang w:val="en-US" w:eastAsia="zh-CN"/>
        </w:rPr>
        <w:fldChar w:fldCharType="separate"/>
      </w:r>
      <w:r>
        <w:rPr>
          <w:rStyle w:val="15"/>
          <w:rFonts w:hint="eastAsia" w:ascii="方正仿宋_GB2312" w:hAnsi="方正仿宋_GB2312" w:eastAsia="方正仿宋_GB2312" w:cs="方正仿宋_GB2312"/>
          <w:b w:val="0"/>
          <w:color w:val="auto"/>
          <w:spacing w:val="0"/>
          <w:sz w:val="28"/>
          <w:szCs w:val="28"/>
          <w:highlight w:val="none"/>
          <w:lang w:val="en-US" w:eastAsia="zh-CN"/>
        </w:rPr>
        <w:t>http://www.fjsj.com/</w:t>
      </w:r>
      <w:r>
        <w:rPr>
          <w:rFonts w:hint="eastAsia" w:ascii="方正仿宋_GB2312" w:hAnsi="方正仿宋_GB2312" w:eastAsia="方正仿宋_GB2312" w:cs="方正仿宋_GB2312"/>
          <w:b w:val="0"/>
          <w:color w:val="auto"/>
          <w:spacing w:val="0"/>
          <w:sz w:val="28"/>
          <w:szCs w:val="28"/>
          <w:highlight w:val="none"/>
          <w:lang w:val="en-US" w:eastAsia="zh-CN"/>
        </w:rPr>
        <w:fldChar w:fldCharType="end"/>
      </w:r>
    </w:p>
    <w:p w14:paraId="0E88153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3、项目联系人：</w:t>
      </w:r>
    </w:p>
    <w:p w14:paraId="2CEE66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采购单位</w:t>
      </w:r>
      <w:r>
        <w:rPr>
          <w:rFonts w:hint="eastAsia" w:ascii="方正仿宋_GB2312" w:hAnsi="方正仿宋_GB2312" w:eastAsia="方正仿宋_GB2312" w:cs="方正仿宋_GB2312"/>
          <w:color w:val="auto"/>
          <w:sz w:val="28"/>
          <w:szCs w:val="28"/>
          <w:highlight w:val="none"/>
        </w:rPr>
        <w:t>联系人：</w:t>
      </w:r>
      <w:r>
        <w:rPr>
          <w:rFonts w:hint="eastAsia" w:ascii="方正仿宋_GB2312" w:hAnsi="方正仿宋_GB2312" w:eastAsia="方正仿宋_GB2312" w:cs="方正仿宋_GB2312"/>
          <w:color w:val="auto"/>
          <w:sz w:val="28"/>
          <w:szCs w:val="28"/>
          <w:highlight w:val="none"/>
          <w:lang w:val="en-US" w:eastAsia="zh-CN"/>
        </w:rPr>
        <w:t xml:space="preserve">李工  </w:t>
      </w:r>
      <w:r>
        <w:rPr>
          <w:rFonts w:hint="eastAsia" w:ascii="方正仿宋_GB2312" w:hAnsi="方正仿宋_GB2312" w:eastAsia="方正仿宋_GB2312" w:cs="方正仿宋_GB2312"/>
          <w:color w:val="auto"/>
          <w:sz w:val="28"/>
          <w:szCs w:val="28"/>
          <w:highlight w:val="none"/>
        </w:rPr>
        <w:t>联系电话：</w:t>
      </w:r>
      <w:r>
        <w:rPr>
          <w:rFonts w:hint="eastAsia" w:ascii="方正仿宋_GB2312" w:hAnsi="方正仿宋_GB2312" w:eastAsia="方正仿宋_GB2312" w:cs="方正仿宋_GB2312"/>
          <w:color w:val="auto"/>
          <w:sz w:val="28"/>
          <w:szCs w:val="28"/>
          <w:highlight w:val="none"/>
          <w:lang w:val="en-US" w:eastAsia="zh-CN"/>
        </w:rPr>
        <w:t xml:space="preserve">0591-88013014   </w:t>
      </w:r>
    </w:p>
    <w:p w14:paraId="6F27EEB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七</w:t>
      </w:r>
      <w:r>
        <w:rPr>
          <w:rStyle w:val="14"/>
          <w:rFonts w:hint="eastAsia" w:ascii="方正仿宋_GB2312" w:hAnsi="方正仿宋_GB2312" w:eastAsia="方正仿宋_GB2312" w:cs="方正仿宋_GB2312"/>
          <w:b/>
          <w:bCs w:val="0"/>
          <w:color w:val="auto"/>
          <w:sz w:val="28"/>
          <w:szCs w:val="28"/>
          <w:highlight w:val="none"/>
        </w:rPr>
        <w:t>、答疑截止时间</w:t>
      </w:r>
    </w:p>
    <w:p w14:paraId="38311A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供应商若要求澄清</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通知书，应在获取</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通知书后的1个工作日内提出，</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将随时解答。</w:t>
      </w:r>
    </w:p>
    <w:p w14:paraId="74FD57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b/>
          <w:bCs w:val="0"/>
          <w:color w:val="auto"/>
          <w:sz w:val="28"/>
          <w:szCs w:val="28"/>
          <w:highlight w:val="none"/>
        </w:rPr>
      </w:pPr>
      <w:r>
        <w:rPr>
          <w:rStyle w:val="14"/>
          <w:rFonts w:hint="eastAsia" w:ascii="方正仿宋_GB2312" w:hAnsi="方正仿宋_GB2312" w:eastAsia="方正仿宋_GB2312" w:cs="方正仿宋_GB2312"/>
          <w:b/>
          <w:bCs w:val="0"/>
          <w:color w:val="auto"/>
          <w:sz w:val="28"/>
          <w:szCs w:val="28"/>
          <w:highlight w:val="none"/>
          <w:lang w:val="en-US" w:eastAsia="zh-CN"/>
        </w:rPr>
        <w:t>八</w:t>
      </w:r>
      <w:r>
        <w:rPr>
          <w:rStyle w:val="14"/>
          <w:rFonts w:hint="eastAsia" w:ascii="方正仿宋_GB2312" w:hAnsi="方正仿宋_GB2312" w:eastAsia="方正仿宋_GB2312" w:cs="方正仿宋_GB2312"/>
          <w:b/>
          <w:bCs w:val="0"/>
          <w:color w:val="auto"/>
          <w:sz w:val="28"/>
          <w:szCs w:val="28"/>
          <w:highlight w:val="none"/>
        </w:rPr>
        <w:t>、响应文件的要求及递交</w:t>
      </w:r>
    </w:p>
    <w:p w14:paraId="4C696D5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（1）响应文件要求：</w:t>
      </w:r>
    </w:p>
    <w:p w14:paraId="5210B80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1）除谈判文件另有规定外，响应文件应使用附件响应文件模板规定的格式。</w:t>
      </w:r>
    </w:p>
    <w:p w14:paraId="217B661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2）除谈判文件另有规定外，响应文件的正本和全部副本均应使用不能擦去的墨料或墨水打印、书写或复印，其中：</w:t>
      </w:r>
    </w:p>
    <w:p w14:paraId="606607F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①正本应用A4幅面纸张打印装订，编制封面（封面标明“正本”字样）、索引、页码，并用胶装装订成册。</w:t>
      </w:r>
    </w:p>
    <w:p w14:paraId="7BD5BC8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②副本应用A4幅面纸张打印装订，编制封面（封面标明“副本”字样）、索引、页码，并用胶装装订成册；副本可用正本的完整复印件，并与正本保持一致（若不一致，以正本为准）。</w:t>
      </w:r>
    </w:p>
    <w:p w14:paraId="7A6D450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（2）响应文件递交：</w:t>
      </w:r>
    </w:p>
    <w:p w14:paraId="176F8E8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1）响应文件正本1份、副本</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份，分别标明“正本”“副本”字样，并密封加盖供应商公章。响应文件未密封完好将导致谈判被拒绝。</w:t>
      </w:r>
    </w:p>
    <w:p w14:paraId="483C2E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2）首次响应文件递交时间：供应商应在</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18</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11</w:t>
      </w:r>
      <w:r>
        <w:rPr>
          <w:rFonts w:hint="eastAsia" w:ascii="方正仿宋_GB2312" w:hAnsi="方正仿宋_GB2312" w:eastAsia="方正仿宋_GB2312" w:cs="方正仿宋_GB2312"/>
          <w:color w:val="auto"/>
          <w:sz w:val="28"/>
          <w:szCs w:val="28"/>
          <w:highlight w:val="none"/>
        </w:rPr>
        <w:t>时</w:t>
      </w:r>
      <w:r>
        <w:rPr>
          <w:rFonts w:hint="eastAsia" w:ascii="方正仿宋_GB2312" w:hAnsi="方正仿宋_GB2312" w:eastAsia="方正仿宋_GB2312" w:cs="方正仿宋_GB2312"/>
          <w:color w:val="auto"/>
          <w:sz w:val="28"/>
          <w:szCs w:val="28"/>
          <w:highlight w:val="none"/>
          <w:lang w:val="en-US" w:eastAsia="zh-CN"/>
        </w:rPr>
        <w:t>00分</w:t>
      </w:r>
      <w:r>
        <w:rPr>
          <w:rFonts w:hint="eastAsia" w:ascii="方正仿宋_GB2312" w:hAnsi="方正仿宋_GB2312" w:eastAsia="方正仿宋_GB2312" w:cs="方正仿宋_GB2312"/>
          <w:color w:val="auto"/>
          <w:sz w:val="28"/>
          <w:szCs w:val="28"/>
          <w:highlight w:val="none"/>
        </w:rPr>
        <w:t>之前将密封的响应文件送达</w:t>
      </w:r>
      <w:r>
        <w:rPr>
          <w:rFonts w:hint="eastAsia" w:ascii="方正仿宋_GB2312" w:hAnsi="方正仿宋_GB2312" w:eastAsia="方正仿宋_GB2312" w:cs="方正仿宋_GB2312"/>
          <w:color w:val="auto"/>
          <w:sz w:val="28"/>
          <w:szCs w:val="28"/>
          <w:highlight w:val="none"/>
          <w:u w:val="single"/>
          <w:lang w:val="en-US" w:eastAsia="zh-CN"/>
        </w:rPr>
        <w:t>信息科办公室</w:t>
      </w:r>
      <w:r>
        <w:rPr>
          <w:rFonts w:hint="eastAsia" w:ascii="方正仿宋_GB2312" w:hAnsi="方正仿宋_GB2312" w:eastAsia="方正仿宋_GB2312" w:cs="方正仿宋_GB2312"/>
          <w:color w:val="auto"/>
          <w:sz w:val="28"/>
          <w:szCs w:val="28"/>
          <w:highlight w:val="none"/>
        </w:rPr>
        <w:t>，逾期送达的或不符合规定的响应文件将被拒绝接收。</w:t>
      </w:r>
    </w:p>
    <w:p w14:paraId="770F45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val="en-US" w:eastAsia="zh-CN"/>
        </w:rPr>
        <w:t>九</w:t>
      </w:r>
      <w:r>
        <w:rPr>
          <w:rStyle w:val="14"/>
          <w:rFonts w:hint="eastAsia" w:ascii="方正仿宋_GB2312" w:hAnsi="方正仿宋_GB2312" w:eastAsia="方正仿宋_GB2312" w:cs="方正仿宋_GB2312"/>
          <w:color w:val="auto"/>
          <w:sz w:val="28"/>
          <w:szCs w:val="28"/>
          <w:highlight w:val="none"/>
        </w:rPr>
        <w:t>、开标评标时间地点</w:t>
      </w:r>
    </w:p>
    <w:p w14:paraId="6EE0B30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1、响应文件递交截止时间：</w:t>
      </w:r>
      <w:r>
        <w:rPr>
          <w:rFonts w:hint="eastAsia" w:ascii="方正仿宋_GB2312" w:hAnsi="方正仿宋_GB2312" w:eastAsia="方正仿宋_GB2312" w:cs="方正仿宋_GB2312"/>
          <w:color w:val="auto"/>
          <w:sz w:val="28"/>
          <w:szCs w:val="28"/>
          <w:highlight w:val="none"/>
          <w:lang w:val="en-US" w:eastAsia="zh-CN"/>
        </w:rPr>
        <w:t>2025</w:t>
      </w:r>
      <w:r>
        <w:rPr>
          <w:rFonts w:hint="eastAsia" w:ascii="方正仿宋_GB2312" w:hAnsi="方正仿宋_GB2312" w:eastAsia="方正仿宋_GB2312" w:cs="方正仿宋_GB2312"/>
          <w:color w:val="auto"/>
          <w:sz w:val="28"/>
          <w:szCs w:val="28"/>
          <w:highlight w:val="none"/>
        </w:rPr>
        <w:t>年</w:t>
      </w:r>
      <w:r>
        <w:rPr>
          <w:rFonts w:hint="eastAsia" w:ascii="方正仿宋_GB2312" w:hAnsi="方正仿宋_GB2312" w:eastAsia="方正仿宋_GB2312" w:cs="方正仿宋_GB2312"/>
          <w:color w:val="auto"/>
          <w:sz w:val="28"/>
          <w:szCs w:val="28"/>
          <w:highlight w:val="none"/>
          <w:lang w:val="en-US" w:eastAsia="zh-CN"/>
        </w:rPr>
        <w:t>9</w:t>
      </w:r>
      <w:r>
        <w:rPr>
          <w:rFonts w:hint="eastAsia" w:ascii="方正仿宋_GB2312" w:hAnsi="方正仿宋_GB2312" w:eastAsia="方正仿宋_GB2312" w:cs="方正仿宋_GB2312"/>
          <w:color w:val="auto"/>
          <w:sz w:val="28"/>
          <w:szCs w:val="28"/>
          <w:highlight w:val="none"/>
        </w:rPr>
        <w:t>月</w:t>
      </w:r>
      <w:r>
        <w:rPr>
          <w:rFonts w:hint="eastAsia" w:ascii="方正仿宋_GB2312" w:hAnsi="方正仿宋_GB2312" w:eastAsia="方正仿宋_GB2312" w:cs="方正仿宋_GB2312"/>
          <w:color w:val="auto"/>
          <w:sz w:val="28"/>
          <w:szCs w:val="28"/>
          <w:highlight w:val="none"/>
          <w:lang w:val="en-US" w:eastAsia="zh-CN"/>
        </w:rPr>
        <w:t>18</w:t>
      </w:r>
      <w:r>
        <w:rPr>
          <w:rFonts w:hint="eastAsia" w:ascii="方正仿宋_GB2312" w:hAnsi="方正仿宋_GB2312" w:eastAsia="方正仿宋_GB2312" w:cs="方正仿宋_GB2312"/>
          <w:color w:val="auto"/>
          <w:sz w:val="28"/>
          <w:szCs w:val="28"/>
          <w:highlight w:val="none"/>
        </w:rPr>
        <w:t>日</w:t>
      </w:r>
      <w:r>
        <w:rPr>
          <w:rFonts w:hint="eastAsia" w:ascii="方正仿宋_GB2312" w:hAnsi="方正仿宋_GB2312" w:eastAsia="方正仿宋_GB2312" w:cs="方正仿宋_GB2312"/>
          <w:color w:val="auto"/>
          <w:sz w:val="28"/>
          <w:szCs w:val="28"/>
          <w:highlight w:val="none"/>
          <w:lang w:val="en-US" w:eastAsia="zh-CN"/>
        </w:rPr>
        <w:t>11</w:t>
      </w:r>
      <w:bookmarkStart w:id="0" w:name="_GoBack"/>
      <w:bookmarkEnd w:id="0"/>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00</w:t>
      </w:r>
      <w:r>
        <w:rPr>
          <w:rFonts w:hint="eastAsia" w:ascii="方正仿宋_GB2312" w:hAnsi="方正仿宋_GB2312" w:eastAsia="方正仿宋_GB2312" w:cs="方正仿宋_GB2312"/>
          <w:color w:val="auto"/>
          <w:sz w:val="28"/>
          <w:szCs w:val="28"/>
          <w:highlight w:val="none"/>
        </w:rPr>
        <w:t>（北京时间）</w:t>
      </w:r>
    </w:p>
    <w:p w14:paraId="3723A15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2、谈判时间：截标后即开始评审</w:t>
      </w:r>
    </w:p>
    <w:p w14:paraId="4994F6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3、地点：</w:t>
      </w:r>
      <w:r>
        <w:rPr>
          <w:rFonts w:hint="eastAsia" w:ascii="方正仿宋_GB2312" w:hAnsi="方正仿宋_GB2312" w:eastAsia="方正仿宋_GB2312" w:cs="方正仿宋_GB2312"/>
          <w:color w:val="auto"/>
          <w:sz w:val="28"/>
          <w:szCs w:val="28"/>
          <w:highlight w:val="none"/>
          <w:lang w:eastAsia="zh-CN"/>
        </w:rPr>
        <w:t>建邦大厦会议室</w:t>
      </w:r>
      <w:r>
        <w:rPr>
          <w:rFonts w:hint="eastAsia" w:ascii="方正仿宋_GB2312" w:hAnsi="方正仿宋_GB2312" w:eastAsia="方正仿宋_GB2312" w:cs="方正仿宋_GB2312"/>
          <w:color w:val="auto"/>
          <w:sz w:val="28"/>
          <w:szCs w:val="28"/>
          <w:highlight w:val="none"/>
          <w:lang w:val="en-US" w:eastAsia="zh-CN"/>
        </w:rPr>
        <w:t xml:space="preserve">    </w:t>
      </w:r>
    </w:p>
    <w:p w14:paraId="42DCF9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val="en-US" w:eastAsia="zh-CN"/>
        </w:rPr>
        <w:t>十</w:t>
      </w:r>
      <w:r>
        <w:rPr>
          <w:rStyle w:val="14"/>
          <w:rFonts w:hint="eastAsia" w:ascii="方正仿宋_GB2312" w:hAnsi="方正仿宋_GB2312" w:eastAsia="方正仿宋_GB2312" w:cs="方正仿宋_GB2312"/>
          <w:color w:val="auto"/>
          <w:sz w:val="28"/>
          <w:szCs w:val="28"/>
          <w:highlight w:val="none"/>
        </w:rPr>
        <w:t>、定标原则及办法</w:t>
      </w:r>
    </w:p>
    <w:p w14:paraId="4120E4E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1、评标活动遵循公平、公正、科学和择优的原则。</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小组将按照规定对各供应商的响应文件采用相同的程序和标准进行评价和比较，对通过资格及符合性检查的合格供应商进行</w:t>
      </w:r>
      <w:r>
        <w:rPr>
          <w:rFonts w:hint="eastAsia" w:ascii="方正仿宋_GB2312" w:hAnsi="方正仿宋_GB2312" w:eastAsia="方正仿宋_GB2312" w:cs="方正仿宋_GB2312"/>
          <w:color w:val="auto"/>
          <w:sz w:val="28"/>
          <w:szCs w:val="28"/>
          <w:highlight w:val="none"/>
          <w:lang w:val="en-US" w:eastAsia="zh-CN"/>
        </w:rPr>
        <w:t>综合</w:t>
      </w:r>
      <w:r>
        <w:rPr>
          <w:rFonts w:hint="eastAsia" w:ascii="方正仿宋_GB2312" w:hAnsi="方正仿宋_GB2312" w:eastAsia="方正仿宋_GB2312" w:cs="方正仿宋_GB2312"/>
          <w:color w:val="auto"/>
          <w:sz w:val="28"/>
          <w:szCs w:val="28"/>
          <w:highlight w:val="none"/>
        </w:rPr>
        <w:t>评估，评议过程严格按照</w:t>
      </w:r>
      <w:r>
        <w:rPr>
          <w:rFonts w:hint="eastAsia" w:ascii="方正仿宋_GB2312" w:hAnsi="方正仿宋_GB2312" w:eastAsia="方正仿宋_GB2312" w:cs="方正仿宋_GB2312"/>
          <w:color w:val="auto"/>
          <w:sz w:val="28"/>
          <w:szCs w:val="28"/>
          <w:highlight w:val="none"/>
          <w:lang w:val="en-US" w:eastAsia="zh-CN"/>
        </w:rPr>
        <w:t>谈判</w:t>
      </w:r>
      <w:r>
        <w:rPr>
          <w:rFonts w:hint="eastAsia" w:ascii="方正仿宋_GB2312" w:hAnsi="方正仿宋_GB2312" w:eastAsia="方正仿宋_GB2312" w:cs="方正仿宋_GB2312"/>
          <w:color w:val="auto"/>
          <w:sz w:val="28"/>
          <w:szCs w:val="28"/>
          <w:highlight w:val="none"/>
        </w:rPr>
        <w:t>文件的要求和条件进行。本项目采用最低评标价法。。</w:t>
      </w:r>
    </w:p>
    <w:p w14:paraId="5EF279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2、谈判小组将根据本谈判文件各项要求综合评估，推荐出符合采购要求、符合项目质量和服务要求且报价由</w:t>
      </w:r>
      <w:r>
        <w:rPr>
          <w:rFonts w:hint="eastAsia" w:ascii="方正仿宋_GB2312" w:hAnsi="方正仿宋_GB2312" w:eastAsia="方正仿宋_GB2312" w:cs="方正仿宋_GB2312"/>
          <w:color w:val="auto"/>
          <w:sz w:val="28"/>
          <w:szCs w:val="28"/>
          <w:highlight w:val="none"/>
          <w:lang w:val="en-US" w:eastAsia="zh-CN"/>
        </w:rPr>
        <w:t>低</w:t>
      </w:r>
      <w:r>
        <w:rPr>
          <w:rFonts w:hint="eastAsia" w:ascii="方正仿宋_GB2312" w:hAnsi="方正仿宋_GB2312" w:eastAsia="方正仿宋_GB2312" w:cs="方正仿宋_GB2312"/>
          <w:color w:val="auto"/>
          <w:sz w:val="28"/>
          <w:szCs w:val="28"/>
          <w:highlight w:val="none"/>
        </w:rPr>
        <w:t>到</w:t>
      </w:r>
      <w:r>
        <w:rPr>
          <w:rFonts w:hint="eastAsia" w:ascii="方正仿宋_GB2312" w:hAnsi="方正仿宋_GB2312" w:eastAsia="方正仿宋_GB2312" w:cs="方正仿宋_GB2312"/>
          <w:color w:val="auto"/>
          <w:sz w:val="28"/>
          <w:szCs w:val="28"/>
          <w:highlight w:val="none"/>
          <w:lang w:val="en-US" w:eastAsia="zh-CN"/>
        </w:rPr>
        <w:t>高</w:t>
      </w:r>
      <w:r>
        <w:rPr>
          <w:rFonts w:hint="eastAsia" w:ascii="方正仿宋_GB2312" w:hAnsi="方正仿宋_GB2312" w:eastAsia="方正仿宋_GB2312" w:cs="方正仿宋_GB2312"/>
          <w:color w:val="auto"/>
          <w:sz w:val="28"/>
          <w:szCs w:val="28"/>
          <w:highlight w:val="none"/>
        </w:rPr>
        <w:t>前三名为本合同包成交候选人（若属于《政府采购非招标采购方式管理办法》</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福建省财政厅关于政府采购执行过程中有关规定的通知</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eastAsia="zh-CN"/>
        </w:rPr>
        <w:t>（闽财购〔2016〕67号）</w:t>
      </w:r>
      <w:r>
        <w:rPr>
          <w:rFonts w:hint="eastAsia" w:ascii="方正仿宋_GB2312" w:hAnsi="方正仿宋_GB2312" w:eastAsia="方正仿宋_GB2312" w:cs="方正仿宋_GB2312"/>
          <w:color w:val="auto"/>
          <w:sz w:val="28"/>
          <w:szCs w:val="28"/>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方正仿宋_GB2312" w:hAnsi="方正仿宋_GB2312" w:eastAsia="方正仿宋_GB2312" w:cs="方正仿宋_GB2312"/>
          <w:color w:val="auto"/>
          <w:sz w:val="28"/>
          <w:szCs w:val="28"/>
          <w:highlight w:val="none"/>
          <w:lang w:eastAsia="zh-CN"/>
        </w:rPr>
        <w:t>低</w:t>
      </w:r>
      <w:r>
        <w:rPr>
          <w:rFonts w:hint="eastAsia" w:ascii="方正仿宋_GB2312" w:hAnsi="方正仿宋_GB2312" w:eastAsia="方正仿宋_GB2312" w:cs="方正仿宋_GB2312"/>
          <w:color w:val="auto"/>
          <w:sz w:val="28"/>
          <w:szCs w:val="28"/>
          <w:highlight w:val="none"/>
        </w:rPr>
        <w:t>者为本项目成交人（若出现报价相同的情况，则由谈判小组按随机抽取方式确定最终成交候选人）。</w:t>
      </w:r>
    </w:p>
    <w:p w14:paraId="6D6DBD4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3、响应文件无效条款（不满足即为无效响应的实质性条款）及废标条款：具体内容详见竞争性谈判文件各章节，请各供应商认真查看对照。</w:t>
      </w:r>
    </w:p>
    <w:p w14:paraId="49F49A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3.1、供应商若出现下列情形之一的，响应文件也将被视为未实质性响应谈判文件要求，按照无效报价处理：</w:t>
      </w:r>
    </w:p>
    <w:p w14:paraId="62AA8E7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(1)未符合谈判文件规定资格标准“供应商资格要求及审查办法”的按照无效响应处理；</w:t>
      </w:r>
    </w:p>
    <w:p w14:paraId="3016B6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(2)未符合《服务（货物）一览表》及“采购内容及要求”中的技术要求的按照无效响应处理；</w:t>
      </w:r>
    </w:p>
    <w:p w14:paraId="6684366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(3)响应文件未按照谈判文件要求的规定进行密封、标记的；</w:t>
      </w:r>
    </w:p>
    <w:p w14:paraId="5748298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(4)未按规定由供应商的法定代表人或其授权代表签字，或未加盖供应商公章的；或签字人未经法定代表人有效授权委托的；</w:t>
      </w:r>
    </w:p>
    <w:p w14:paraId="72CF89E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(5)一个供应商不止投一个标；</w:t>
      </w:r>
    </w:p>
    <w:p w14:paraId="6ADC0ED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(6)供应商提交的是可选择的报价；</w:t>
      </w:r>
    </w:p>
    <w:p w14:paraId="57A1A2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(7)响应文件组成不符合谈判文件要求的；</w:t>
      </w:r>
    </w:p>
    <w:p w14:paraId="4B4EB5D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(8)响应文件中提供虚假或失实资料的；</w:t>
      </w:r>
    </w:p>
    <w:p w14:paraId="0BAC22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(9)未按规定签字、提交封面盖公章，并加盖骑缝章且每页盖公章(非报价专用章或业务章)的；</w:t>
      </w:r>
    </w:p>
    <w:p w14:paraId="2E91582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(10)供应商名称或组织结构与资格性审查时不一致且未提供有效证明的；</w:t>
      </w:r>
    </w:p>
    <w:p w14:paraId="2E6A9D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(11)响应文件附有采购人不能接受的条件；</w:t>
      </w:r>
    </w:p>
    <w:p w14:paraId="4DFD8E1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(12)不符合谈判文件中规定的实质性要求和条件、实质性条款、无效报价条款的。</w:t>
      </w:r>
    </w:p>
    <w:p w14:paraId="0276D5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3.2、出现下列情形之一的，按废标处理：</w:t>
      </w:r>
    </w:p>
    <w:p w14:paraId="5F0B5A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①符合专业条件的供应商或者对谈判文件作实质响应的供应商不足</w:t>
      </w:r>
      <w:r>
        <w:rPr>
          <w:rFonts w:hint="eastAsia" w:ascii="方正仿宋_GB2312" w:hAnsi="方正仿宋_GB2312" w:eastAsia="方正仿宋_GB2312" w:cs="方正仿宋_GB2312"/>
          <w:color w:val="auto"/>
          <w:sz w:val="28"/>
          <w:szCs w:val="28"/>
          <w:highlight w:val="none"/>
          <w:lang w:eastAsia="zh-CN"/>
        </w:rPr>
        <w:t>三</w:t>
      </w:r>
      <w:r>
        <w:rPr>
          <w:rFonts w:hint="eastAsia" w:ascii="方正仿宋_GB2312" w:hAnsi="方正仿宋_GB2312" w:eastAsia="方正仿宋_GB2312" w:cs="方正仿宋_GB2312"/>
          <w:color w:val="auto"/>
          <w:sz w:val="28"/>
          <w:szCs w:val="28"/>
          <w:highlight w:val="none"/>
        </w:rPr>
        <w:t>家的；</w:t>
      </w:r>
    </w:p>
    <w:p w14:paraId="58FD15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②出现影响采购公正的违法、违规行为的；</w:t>
      </w:r>
    </w:p>
    <w:p w14:paraId="258BF88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③供应商的报价</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于最</w:t>
      </w:r>
      <w:r>
        <w:rPr>
          <w:rFonts w:hint="eastAsia" w:ascii="方正仿宋_GB2312" w:hAnsi="方正仿宋_GB2312" w:eastAsia="方正仿宋_GB2312" w:cs="方正仿宋_GB2312"/>
          <w:color w:val="auto"/>
          <w:sz w:val="28"/>
          <w:szCs w:val="28"/>
          <w:highlight w:val="none"/>
          <w:lang w:eastAsia="zh-CN"/>
        </w:rPr>
        <w:t>高</w:t>
      </w:r>
      <w:r>
        <w:rPr>
          <w:rFonts w:hint="eastAsia" w:ascii="方正仿宋_GB2312" w:hAnsi="方正仿宋_GB2312" w:eastAsia="方正仿宋_GB2312" w:cs="方正仿宋_GB2312"/>
          <w:color w:val="auto"/>
          <w:sz w:val="28"/>
          <w:szCs w:val="28"/>
          <w:highlight w:val="none"/>
        </w:rPr>
        <w:t>限价的；</w:t>
      </w:r>
    </w:p>
    <w:p w14:paraId="62D27CE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④因重大变故，采购任务取消的。</w:t>
      </w:r>
    </w:p>
    <w:p w14:paraId="024B23A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4、供应商之间有相互串通投标、弄虚作假等违规行为者，将作废标处理，并在我院未来的项目</w:t>
      </w:r>
      <w:r>
        <w:rPr>
          <w:rFonts w:hint="eastAsia" w:ascii="方正仿宋_GB2312" w:hAnsi="方正仿宋_GB2312" w:eastAsia="方正仿宋_GB2312" w:cs="方正仿宋_GB2312"/>
          <w:color w:val="auto"/>
          <w:sz w:val="28"/>
          <w:szCs w:val="28"/>
          <w:highlight w:val="none"/>
          <w:lang w:eastAsia="zh-CN"/>
        </w:rPr>
        <w:t>采购</w:t>
      </w:r>
      <w:r>
        <w:rPr>
          <w:rFonts w:hint="eastAsia" w:ascii="方正仿宋_GB2312" w:hAnsi="方正仿宋_GB2312" w:eastAsia="方正仿宋_GB2312" w:cs="方正仿宋_GB2312"/>
          <w:color w:val="auto"/>
          <w:sz w:val="28"/>
          <w:szCs w:val="28"/>
          <w:highlight w:val="none"/>
        </w:rPr>
        <w:t>中被拒绝接受投标。</w:t>
      </w:r>
    </w:p>
    <w:p w14:paraId="5471AE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方正仿宋_GB2312" w:hAnsi="方正仿宋_GB2312" w:eastAsia="方正仿宋_GB2312" w:cs="方正仿宋_GB2312"/>
          <w:color w:val="auto"/>
          <w:sz w:val="28"/>
          <w:szCs w:val="28"/>
          <w:highlight w:val="none"/>
        </w:rPr>
      </w:pPr>
      <w:r>
        <w:rPr>
          <w:rStyle w:val="14"/>
          <w:rFonts w:hint="eastAsia" w:ascii="方正仿宋_GB2312" w:hAnsi="方正仿宋_GB2312" w:eastAsia="方正仿宋_GB2312" w:cs="方正仿宋_GB2312"/>
          <w:color w:val="auto"/>
          <w:sz w:val="28"/>
          <w:szCs w:val="28"/>
          <w:highlight w:val="none"/>
          <w:lang w:eastAsia="zh-CN"/>
        </w:rPr>
        <w:t>十</w:t>
      </w:r>
      <w:r>
        <w:rPr>
          <w:rStyle w:val="14"/>
          <w:rFonts w:hint="eastAsia" w:ascii="方正仿宋_GB2312" w:hAnsi="方正仿宋_GB2312" w:eastAsia="方正仿宋_GB2312" w:cs="方正仿宋_GB2312"/>
          <w:color w:val="auto"/>
          <w:sz w:val="28"/>
          <w:szCs w:val="28"/>
          <w:highlight w:val="none"/>
          <w:lang w:val="en-US" w:eastAsia="zh-CN"/>
        </w:rPr>
        <w:t>一</w:t>
      </w:r>
      <w:r>
        <w:rPr>
          <w:rStyle w:val="14"/>
          <w:rFonts w:hint="eastAsia" w:ascii="方正仿宋_GB2312" w:hAnsi="方正仿宋_GB2312" w:eastAsia="方正仿宋_GB2312" w:cs="方正仿宋_GB2312"/>
          <w:color w:val="auto"/>
          <w:sz w:val="28"/>
          <w:szCs w:val="28"/>
          <w:highlight w:val="none"/>
        </w:rPr>
        <w:t>、合同条款内容及签订</w:t>
      </w:r>
    </w:p>
    <w:p w14:paraId="39781CC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1、合同签订：成交人在接到成交通知后3天内，应派代表与</w:t>
      </w:r>
      <w:r>
        <w:rPr>
          <w:rFonts w:hint="eastAsia" w:ascii="方正仿宋_GB2312" w:hAnsi="方正仿宋_GB2312" w:eastAsia="方正仿宋_GB2312" w:cs="方正仿宋_GB2312"/>
          <w:color w:val="auto"/>
          <w:sz w:val="28"/>
          <w:szCs w:val="28"/>
          <w:highlight w:val="none"/>
          <w:lang w:eastAsia="zh-CN"/>
        </w:rPr>
        <w:t>采购人</w:t>
      </w:r>
      <w:r>
        <w:rPr>
          <w:rFonts w:hint="eastAsia" w:ascii="方正仿宋_GB2312" w:hAnsi="方正仿宋_GB2312" w:eastAsia="方正仿宋_GB2312" w:cs="方正仿宋_GB2312"/>
          <w:color w:val="auto"/>
          <w:sz w:val="28"/>
          <w:szCs w:val="28"/>
          <w:highlight w:val="none"/>
        </w:rPr>
        <w:t>联系，商讨签订合同事宜。</w:t>
      </w:r>
    </w:p>
    <w:p w14:paraId="081105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560" w:firstLineChars="200"/>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、合同签订地点：</w:t>
      </w:r>
      <w:r>
        <w:rPr>
          <w:rFonts w:hint="eastAsia" w:ascii="方正仿宋_GB2312" w:hAnsi="方正仿宋_GB2312" w:eastAsia="方正仿宋_GB2312" w:cs="方正仿宋_GB2312"/>
          <w:color w:val="auto"/>
          <w:sz w:val="28"/>
          <w:szCs w:val="28"/>
          <w:highlight w:val="none"/>
          <w:lang w:eastAsia="zh-CN"/>
        </w:rPr>
        <w:t>福州</w:t>
      </w:r>
    </w:p>
    <w:sectPr>
      <w:footerReference r:id="rId3" w:type="default"/>
      <w:pgSz w:w="11906" w:h="16838"/>
      <w:pgMar w:top="1814" w:right="1587" w:bottom="1701" w:left="1587"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36D228C-B123-4B6B-A32F-E0506A9B9CB5}"/>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A8510B65-0425-4BC9-9DC4-D79DCC6C80AA}"/>
  </w:font>
  <w:font w:name="Arial Unicode MS">
    <w:altName w:val="Arial"/>
    <w:panose1 w:val="020B0604020202020204"/>
    <w:charset w:val="00"/>
    <w:family w:val="swiss"/>
    <w:pitch w:val="default"/>
    <w:sig w:usb0="00000000" w:usb1="00000000" w:usb2="0000003F" w:usb3="00000000" w:csb0="003F01FF" w:csb1="00000000"/>
  </w:font>
  <w:font w:name="方正小标宋简体">
    <w:panose1 w:val="02010600010101010101"/>
    <w:charset w:val="86"/>
    <w:family w:val="auto"/>
    <w:pitch w:val="default"/>
    <w:sig w:usb0="00000001" w:usb1="080E0000" w:usb2="00000000" w:usb3="00000000" w:csb0="00040000" w:csb1="00000000"/>
    <w:embedRegular r:id="rId3" w:fontKey="{D620D600-8B92-4646-BF4B-FD814930D936}"/>
  </w:font>
  <w:font w:name="方正仿宋_GB2312">
    <w:panose1 w:val="02000000000000000000"/>
    <w:charset w:val="86"/>
    <w:family w:val="auto"/>
    <w:pitch w:val="default"/>
    <w:sig w:usb0="A00002BF" w:usb1="184F6CFA" w:usb2="00000012" w:usb3="00000000" w:csb0="00040001" w:csb1="00000000"/>
    <w:embedRegular r:id="rId4" w:fontKey="{9AFB93D1-592D-43B0-88A5-F8E9CCF93EA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8"/>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8"/>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02387"/>
    <w:multiLevelType w:val="singleLevel"/>
    <w:tmpl w:val="8CA02387"/>
    <w:lvl w:ilvl="0" w:tentative="0">
      <w:start w:val="3"/>
      <w:numFmt w:val="decimal"/>
      <w:suff w:val="nothing"/>
      <w:lvlText w:val="%1、"/>
      <w:lvlJc w:val="left"/>
    </w:lvl>
  </w:abstractNum>
  <w:abstractNum w:abstractNumId="1">
    <w:nsid w:val="2DB22549"/>
    <w:multiLevelType w:val="singleLevel"/>
    <w:tmpl w:val="2DB22549"/>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6EC6EEE"/>
    <w:rsid w:val="076B5857"/>
    <w:rsid w:val="07907EFE"/>
    <w:rsid w:val="07A80859"/>
    <w:rsid w:val="08B71858"/>
    <w:rsid w:val="098E52A0"/>
    <w:rsid w:val="0A6A0048"/>
    <w:rsid w:val="0C1C223F"/>
    <w:rsid w:val="0E2C4469"/>
    <w:rsid w:val="0E903DF5"/>
    <w:rsid w:val="10B64F82"/>
    <w:rsid w:val="110B3F03"/>
    <w:rsid w:val="124754CB"/>
    <w:rsid w:val="13876815"/>
    <w:rsid w:val="16A1506E"/>
    <w:rsid w:val="174C1201"/>
    <w:rsid w:val="187327BD"/>
    <w:rsid w:val="1C187979"/>
    <w:rsid w:val="1CBE7BEF"/>
    <w:rsid w:val="1FE950B6"/>
    <w:rsid w:val="20241715"/>
    <w:rsid w:val="20DC33DB"/>
    <w:rsid w:val="22F40F6B"/>
    <w:rsid w:val="24931896"/>
    <w:rsid w:val="24CC572F"/>
    <w:rsid w:val="263230B7"/>
    <w:rsid w:val="267F7CFE"/>
    <w:rsid w:val="278E3F9C"/>
    <w:rsid w:val="27EE2107"/>
    <w:rsid w:val="2B25034B"/>
    <w:rsid w:val="2E204D3E"/>
    <w:rsid w:val="2E826880"/>
    <w:rsid w:val="30EE0170"/>
    <w:rsid w:val="31185E33"/>
    <w:rsid w:val="31B475C5"/>
    <w:rsid w:val="32A0644D"/>
    <w:rsid w:val="340842AA"/>
    <w:rsid w:val="340F06E9"/>
    <w:rsid w:val="36265E90"/>
    <w:rsid w:val="36DF7544"/>
    <w:rsid w:val="39106D2F"/>
    <w:rsid w:val="39CB2002"/>
    <w:rsid w:val="3A914FF9"/>
    <w:rsid w:val="3B3135D0"/>
    <w:rsid w:val="3BFA40BE"/>
    <w:rsid w:val="3CD33A6F"/>
    <w:rsid w:val="3D906EBC"/>
    <w:rsid w:val="3D986541"/>
    <w:rsid w:val="3EE35FD4"/>
    <w:rsid w:val="45AE54CB"/>
    <w:rsid w:val="48403BBB"/>
    <w:rsid w:val="4D0354AC"/>
    <w:rsid w:val="4D115206"/>
    <w:rsid w:val="4D7B21B1"/>
    <w:rsid w:val="4E681CBD"/>
    <w:rsid w:val="4F9251CB"/>
    <w:rsid w:val="50251647"/>
    <w:rsid w:val="51066946"/>
    <w:rsid w:val="51850890"/>
    <w:rsid w:val="51D8535D"/>
    <w:rsid w:val="52944000"/>
    <w:rsid w:val="532145E9"/>
    <w:rsid w:val="53DE53F7"/>
    <w:rsid w:val="54907C78"/>
    <w:rsid w:val="54A159E1"/>
    <w:rsid w:val="58317A7F"/>
    <w:rsid w:val="583628E4"/>
    <w:rsid w:val="584E7C2E"/>
    <w:rsid w:val="5A92249C"/>
    <w:rsid w:val="5C7165E1"/>
    <w:rsid w:val="5D8261C9"/>
    <w:rsid w:val="5DEF56D6"/>
    <w:rsid w:val="5E5759AC"/>
    <w:rsid w:val="5FA41C3A"/>
    <w:rsid w:val="5FFA69D9"/>
    <w:rsid w:val="602F6597"/>
    <w:rsid w:val="624B5C98"/>
    <w:rsid w:val="632F034D"/>
    <w:rsid w:val="63494BBA"/>
    <w:rsid w:val="635841DC"/>
    <w:rsid w:val="664A1589"/>
    <w:rsid w:val="6856486A"/>
    <w:rsid w:val="68A658A4"/>
    <w:rsid w:val="68C36121"/>
    <w:rsid w:val="699F653B"/>
    <w:rsid w:val="6A1967F4"/>
    <w:rsid w:val="6A564261"/>
    <w:rsid w:val="6A615EE7"/>
    <w:rsid w:val="6A900D9B"/>
    <w:rsid w:val="6D2F6881"/>
    <w:rsid w:val="6DCB4621"/>
    <w:rsid w:val="6ED150AB"/>
    <w:rsid w:val="6F923C98"/>
    <w:rsid w:val="72B234CC"/>
    <w:rsid w:val="72C11107"/>
    <w:rsid w:val="742F667C"/>
    <w:rsid w:val="749C3698"/>
    <w:rsid w:val="7516167C"/>
    <w:rsid w:val="75735BAE"/>
    <w:rsid w:val="78494CB3"/>
    <w:rsid w:val="79895C20"/>
    <w:rsid w:val="7CC95687"/>
    <w:rsid w:val="7D5E2BF7"/>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1"/>
    <w:pPr>
      <w:ind w:left="455"/>
    </w:pPr>
    <w:rPr>
      <w:rFonts w:ascii="宋体" w:hAnsi="宋体" w:eastAsia="宋体" w:cs="宋体"/>
      <w:sz w:val="24"/>
      <w:szCs w:val="24"/>
      <w:lang w:val="zh-CN" w:eastAsia="zh-CN" w:bidi="zh-CN"/>
    </w:rPr>
  </w:style>
  <w:style w:type="paragraph" w:styleId="5">
    <w:name w:val="Body Text 2"/>
    <w:basedOn w:val="1"/>
    <w:qFormat/>
    <w:uiPriority w:val="0"/>
    <w:pPr>
      <w:spacing w:after="120" w:line="480" w:lineRule="auto"/>
    </w:pPr>
    <w:rPr>
      <w:kern w:val="2"/>
      <w:sz w:val="21"/>
    </w:rPr>
  </w:style>
  <w:style w:type="paragraph" w:styleId="6">
    <w:name w:val="Body Text Indent"/>
    <w:basedOn w:val="1"/>
    <w:next w:val="7"/>
    <w:qFormat/>
    <w:uiPriority w:val="0"/>
    <w:pPr>
      <w:spacing w:after="120" w:afterLines="0"/>
      <w:ind w:left="420" w:leftChars="200"/>
    </w:pPr>
    <w:rPr>
      <w:rFonts w:ascii="宋体" w:hAnsi="宋体"/>
      <w:sz w:val="24"/>
    </w:rPr>
  </w:style>
  <w:style w:type="paragraph" w:styleId="7">
    <w:name w:val="Body Text First Indent 2"/>
    <w:basedOn w:val="6"/>
    <w:qFormat/>
    <w:uiPriority w:val="0"/>
    <w:pPr>
      <w:spacing w:after="120" w:afterLines="0" w:line="240" w:lineRule="auto"/>
      <w:ind w:left="420" w:leftChars="200" w:firstLine="420" w:firstLineChars="200"/>
    </w:pPr>
  </w:style>
  <w:style w:type="paragraph" w:styleId="8">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link w:val="1"/>
    <w:qFormat/>
    <w:uiPriority w:val="0"/>
    <w:rPr>
      <w:b/>
    </w:rPr>
  </w:style>
  <w:style w:type="character" w:styleId="15">
    <w:name w:val="Hyperlink"/>
    <w:basedOn w:val="13"/>
    <w:qFormat/>
    <w:uiPriority w:val="0"/>
    <w:rPr>
      <w:color w:val="0000FF"/>
      <w:u w:val="single"/>
    </w:rPr>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 w:type="paragraph" w:customStyle="1" w:styleId="27">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28">
    <w:name w:val="列出段落1"/>
    <w:basedOn w:val="1"/>
    <w:autoRedefine/>
    <w:qFormat/>
    <w:uiPriority w:val="34"/>
    <w:pPr>
      <w:spacing w:line="450" w:lineRule="atLeast"/>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5526</Words>
  <Characters>5780</Characters>
  <Lines>0</Lines>
  <Paragraphs>0</Paragraphs>
  <TotalTime>1</TotalTime>
  <ScaleCrop>false</ScaleCrop>
  <LinksUpToDate>false</LinksUpToDate>
  <CharactersWithSpaces>5799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天津饭</cp:lastModifiedBy>
  <cp:lastPrinted>2025-02-20T00:26:00Z</cp:lastPrinted>
  <dcterms:modified xsi:type="dcterms:W3CDTF">2025-09-12T06:22:02Z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5AD1E0500D674815A9C1A156E2728B55_13</vt:lpwstr>
  </property>
  <property fmtid="{D5CDD505-2E9C-101B-9397-08002B2CF9AE}" pid="4" name="KSOTemplateDocerSaveRecord">
    <vt:lpwstr>eyJoZGlkIjoiNjBhY2Q1M2U5MjFlNzFkYTYwZmU5ZDI5MDYwMTA3NWUiLCJ1c2VySWQiOiIyNzI4MDk1MzYifQ==</vt:lpwstr>
  </property>
</Properties>
</file>